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73" w:rsidRPr="00AE3372" w:rsidRDefault="00DD3076" w:rsidP="00A764F1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E3372">
        <w:rPr>
          <w:rFonts w:asciiTheme="majorHAnsi" w:hAnsiTheme="majorHAnsi" w:cs="Times New Roman"/>
          <w:b/>
          <w:sz w:val="24"/>
          <w:szCs w:val="24"/>
          <w:u w:val="single"/>
        </w:rPr>
        <w:t>Problem Set #2:  Shareholder Transfers to a Controlled Corporation</w:t>
      </w:r>
      <w:r w:rsidR="00C460D3" w:rsidRPr="00AE3372">
        <w:rPr>
          <w:rFonts w:asciiTheme="majorHAnsi" w:hAnsiTheme="majorHAnsi" w:cs="Times New Roman"/>
          <w:b/>
          <w:sz w:val="24"/>
          <w:szCs w:val="24"/>
          <w:u w:val="single"/>
        </w:rPr>
        <w:t xml:space="preserve"> (Part I)</w:t>
      </w:r>
    </w:p>
    <w:p w:rsidR="00A764F1" w:rsidRPr="00AE3372" w:rsidRDefault="00A764F1" w:rsidP="00A764F1">
      <w:pPr>
        <w:pStyle w:val="ListParagraph"/>
        <w:ind w:left="1440"/>
        <w:rPr>
          <w:rFonts w:asciiTheme="majorHAnsi" w:hAnsiTheme="majorHAnsi" w:cs="Times New Roman"/>
        </w:rPr>
      </w:pPr>
    </w:p>
    <w:p w:rsidR="00EA04D8" w:rsidRPr="00AE3372" w:rsidRDefault="00EA04D8" w:rsidP="00EA04D8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>Two individuals, Christy and Dee, form a new business entity, Veggie Heaven, as a Delaware corporation.  Chri</w:t>
      </w:r>
      <w:r w:rsidR="00A35092">
        <w:rPr>
          <w:rFonts w:asciiTheme="majorHAnsi" w:hAnsiTheme="majorHAnsi" w:cs="Times New Roman"/>
        </w:rPr>
        <w:t xml:space="preserve">sty contributes a building to VH </w:t>
      </w:r>
      <w:r w:rsidRPr="00AE3372">
        <w:rPr>
          <w:rFonts w:asciiTheme="majorHAnsi" w:hAnsiTheme="majorHAnsi" w:cs="Times New Roman"/>
        </w:rPr>
        <w:t>with a tax basis of $50,000 and a fair market value of $100,000.  Dee agrees to work at Veggie Heaven for 10,000 hours for the next five years, and the Board of Directors (Christy and Dee) agree that the services have a fair market value of $100,000.  Christy and Dee each receive 100 shares of voting common stock of Veggie Heaven, the only class of stock issued by VH.  Does the contribution by Dee qualify for non-recognition under Section 351?  Does the contribution by Christy qualify for non-recognition under Section 351?</w:t>
      </w:r>
    </w:p>
    <w:p w:rsidR="00E16C00" w:rsidRPr="00AE3372" w:rsidRDefault="00E16C00" w:rsidP="00E16C00">
      <w:pPr>
        <w:pStyle w:val="ListParagraph"/>
        <w:rPr>
          <w:rFonts w:asciiTheme="majorHAnsi" w:hAnsiTheme="majorHAnsi" w:cs="Times New Roman"/>
        </w:rPr>
      </w:pPr>
    </w:p>
    <w:p w:rsidR="00EF29E2" w:rsidRPr="00AE3372" w:rsidRDefault="00497C70" w:rsidP="00E16C0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Dee</w:t>
      </w:r>
      <w:r w:rsidR="00492BF3" w:rsidRPr="00AE3372">
        <w:rPr>
          <w:rFonts w:asciiTheme="majorHAnsi" w:hAnsiTheme="majorHAnsi" w:cs="Times New Roman"/>
          <w:b/>
        </w:rPr>
        <w:t xml:space="preserve"> qualify for non-recognition under Section 351?</w:t>
      </w:r>
    </w:p>
    <w:p w:rsidR="00EF29E2" w:rsidRPr="00AE3372" w:rsidRDefault="00497C70" w:rsidP="009A4273">
      <w:pPr>
        <w:numPr>
          <w:ilvl w:val="0"/>
          <w:numId w:val="2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Christy</w:t>
      </w:r>
      <w:r w:rsidR="00492BF3" w:rsidRPr="00AE3372">
        <w:rPr>
          <w:rFonts w:asciiTheme="majorHAnsi" w:hAnsiTheme="majorHAnsi" w:cs="Times New Roman"/>
          <w:b/>
        </w:rPr>
        <w:t xml:space="preserve"> qualify for non-recognition under Section 351?</w:t>
      </w:r>
    </w:p>
    <w:p w:rsidR="00AE3372" w:rsidRPr="00AE3372" w:rsidRDefault="00AE3372" w:rsidP="00AE3372">
      <w:pPr>
        <w:ind w:left="1080"/>
        <w:rPr>
          <w:rFonts w:asciiTheme="majorHAnsi" w:hAnsiTheme="majorHAnsi" w:cs="Times New Roman"/>
        </w:rPr>
      </w:pPr>
    </w:p>
    <w:p w:rsidR="00EA04D8" w:rsidRPr="00AE3372" w:rsidRDefault="00EA04D8" w:rsidP="00EA04D8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>Assume the same facts as problem #1 except that Dee, in addition to performing services with a fair market value of $100,000 contributes equipment with a fair market value of $100,000 and a tax basis of $50,000.  Dee receives 200 shares of Veggie Heaven.  Does the contribution by Dee of services qualify for non-recognition under Section 351?  Does the contribution by Dee of equipment qualify for non-recognition under Section 351? Does the contribution by Christy of the building qualify for non-recognition under Section 351?</w:t>
      </w:r>
    </w:p>
    <w:p w:rsidR="00EA04D8" w:rsidRPr="00AE3372" w:rsidRDefault="00EA04D8" w:rsidP="00EA04D8">
      <w:pPr>
        <w:pStyle w:val="ListParagraph"/>
        <w:rPr>
          <w:rFonts w:asciiTheme="majorHAnsi" w:hAnsiTheme="majorHAnsi" w:cs="Times New Roman"/>
        </w:rPr>
      </w:pPr>
    </w:p>
    <w:p w:rsidR="009A4273" w:rsidRPr="00AE3372" w:rsidRDefault="009A4273" w:rsidP="00EA04D8">
      <w:pPr>
        <w:pStyle w:val="ListParagraph"/>
        <w:rPr>
          <w:rFonts w:asciiTheme="majorHAnsi" w:hAnsiTheme="majorHAnsi" w:cs="Times New Roman"/>
        </w:rPr>
      </w:pPr>
    </w:p>
    <w:p w:rsidR="00EF29E2" w:rsidRPr="00AE3372" w:rsidRDefault="00497C70" w:rsidP="00E16C00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Dee</w:t>
      </w:r>
      <w:r w:rsidR="00492BF3" w:rsidRPr="00AE3372">
        <w:rPr>
          <w:rFonts w:asciiTheme="majorHAnsi" w:hAnsiTheme="majorHAnsi" w:cs="Times New Roman"/>
          <w:b/>
        </w:rPr>
        <w:t xml:space="preserve"> of services qualify for non-recognition under Section 351?</w:t>
      </w:r>
    </w:p>
    <w:p w:rsidR="00E16C00" w:rsidRPr="00AE3372" w:rsidRDefault="00E16C00" w:rsidP="00E16C00">
      <w:pPr>
        <w:pStyle w:val="ListParagraph"/>
        <w:ind w:left="1080"/>
        <w:rPr>
          <w:rFonts w:asciiTheme="majorHAnsi" w:hAnsiTheme="majorHAnsi" w:cs="Times New Roman"/>
          <w:b/>
        </w:rPr>
      </w:pPr>
    </w:p>
    <w:p w:rsidR="00E16C00" w:rsidRPr="00AE3372" w:rsidRDefault="00497C70" w:rsidP="00E16C00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Dee</w:t>
      </w:r>
      <w:r w:rsidR="00492BF3" w:rsidRPr="00AE3372">
        <w:rPr>
          <w:rFonts w:asciiTheme="majorHAnsi" w:hAnsiTheme="majorHAnsi" w:cs="Times New Roman"/>
          <w:b/>
        </w:rPr>
        <w:t xml:space="preserve"> of equipment qualify for non-recognition under Section 351?</w:t>
      </w:r>
    </w:p>
    <w:p w:rsidR="00E16C00" w:rsidRPr="00AE3372" w:rsidRDefault="00E16C00" w:rsidP="00E16C00">
      <w:pPr>
        <w:pStyle w:val="ListParagraph"/>
        <w:ind w:left="1080"/>
        <w:rPr>
          <w:rFonts w:asciiTheme="majorHAnsi" w:hAnsiTheme="majorHAnsi" w:cs="Times New Roman"/>
          <w:b/>
        </w:rPr>
      </w:pPr>
    </w:p>
    <w:p w:rsidR="00EF29E2" w:rsidRPr="00AE3372" w:rsidRDefault="00497C70" w:rsidP="009A4273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Christy</w:t>
      </w:r>
      <w:r w:rsidR="00492BF3" w:rsidRPr="00AE3372">
        <w:rPr>
          <w:rFonts w:asciiTheme="majorHAnsi" w:hAnsiTheme="majorHAnsi" w:cs="Times New Roman"/>
          <w:b/>
        </w:rPr>
        <w:t xml:space="preserve"> of land qualify for non-recognition under Section 351?</w:t>
      </w:r>
    </w:p>
    <w:p w:rsidR="009A4273" w:rsidRPr="00AE3372" w:rsidRDefault="009A4273" w:rsidP="00EA04D8">
      <w:pPr>
        <w:pStyle w:val="ListParagraph"/>
        <w:rPr>
          <w:rFonts w:asciiTheme="majorHAnsi" w:hAnsiTheme="majorHAnsi" w:cs="Times New Roman"/>
        </w:rPr>
      </w:pPr>
    </w:p>
    <w:p w:rsidR="00E16C00" w:rsidRPr="00AE3372" w:rsidRDefault="00E16C00" w:rsidP="00EA04D8">
      <w:pPr>
        <w:pStyle w:val="ListParagraph"/>
        <w:rPr>
          <w:rFonts w:asciiTheme="majorHAnsi" w:hAnsiTheme="majorHAnsi" w:cs="Times New Roman"/>
        </w:rPr>
      </w:pPr>
    </w:p>
    <w:p w:rsidR="00EA04D8" w:rsidRPr="00AE3372" w:rsidRDefault="00EA04D8" w:rsidP="00EA04D8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>Assume the same facts as problem #1 except that Dee, in addition to performing services with a fair market value of $100,000 contributes equipment with a fair market value of $2000 and a tax basis of $100</w:t>
      </w:r>
      <w:r w:rsidR="00F32E18">
        <w:rPr>
          <w:rFonts w:asciiTheme="majorHAnsi" w:hAnsiTheme="majorHAnsi" w:cs="Times New Roman"/>
        </w:rPr>
        <w:t>0.  Dee receives 102 shares of Veggie Heaven</w:t>
      </w:r>
      <w:r w:rsidRPr="00AE3372">
        <w:rPr>
          <w:rFonts w:asciiTheme="majorHAnsi" w:hAnsiTheme="majorHAnsi" w:cs="Times New Roman"/>
        </w:rPr>
        <w:t>.  Does the contribution by Dee of services qualify for non-recognition under Section 351?  Does the contribution by Dee of equipment qualify for non-recognition under Section 351? Does the contribution by Christy of land qualify for non-recognition under Section 351?</w:t>
      </w:r>
    </w:p>
    <w:p w:rsidR="00EA04D8" w:rsidRPr="00AE3372" w:rsidRDefault="00EA04D8" w:rsidP="00EA04D8">
      <w:pPr>
        <w:pStyle w:val="ListParagraph"/>
        <w:rPr>
          <w:rFonts w:asciiTheme="majorHAnsi" w:hAnsiTheme="majorHAnsi" w:cs="Times New Roman"/>
        </w:rPr>
      </w:pPr>
    </w:p>
    <w:p w:rsidR="00EF29E2" w:rsidRPr="00AE3372" w:rsidRDefault="00492BF3" w:rsidP="00E16C00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B of services qualify for non-recognition under Section 351?</w:t>
      </w:r>
    </w:p>
    <w:p w:rsidR="00E16C00" w:rsidRPr="00AE3372" w:rsidRDefault="00E16C00" w:rsidP="00E16C00">
      <w:pPr>
        <w:pStyle w:val="ListParagraph"/>
        <w:rPr>
          <w:rFonts w:asciiTheme="majorHAnsi" w:hAnsiTheme="majorHAnsi" w:cs="Times New Roman"/>
          <w:b/>
        </w:rPr>
      </w:pPr>
    </w:p>
    <w:p w:rsidR="00E16C00" w:rsidRPr="00AE3372" w:rsidRDefault="00492BF3" w:rsidP="00E16C00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B of equipment qualify for non-recognition under Section 351?</w:t>
      </w:r>
    </w:p>
    <w:p w:rsidR="00E16C00" w:rsidRPr="00AE3372" w:rsidRDefault="00E16C00" w:rsidP="00E16C00">
      <w:pPr>
        <w:rPr>
          <w:rFonts w:asciiTheme="majorHAnsi" w:hAnsiTheme="majorHAnsi" w:cs="Times New Roman"/>
          <w:b/>
        </w:rPr>
      </w:pPr>
    </w:p>
    <w:p w:rsidR="00EF29E2" w:rsidRPr="00AE3372" w:rsidRDefault="00492BF3" w:rsidP="00A04D4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A of land qualify for non-recognition under Section 351?</w:t>
      </w:r>
    </w:p>
    <w:p w:rsidR="00A04D4A" w:rsidRPr="00AE3372" w:rsidRDefault="00A04D4A" w:rsidP="00EA04D8">
      <w:pPr>
        <w:pStyle w:val="ListParagraph"/>
        <w:rPr>
          <w:rFonts w:asciiTheme="majorHAnsi" w:hAnsiTheme="majorHAnsi" w:cs="Times New Roman"/>
        </w:rPr>
      </w:pPr>
    </w:p>
    <w:p w:rsidR="00A764F1" w:rsidRPr="00AE3372" w:rsidRDefault="00A764F1" w:rsidP="00A764F1">
      <w:pPr>
        <w:pStyle w:val="ListParagraph"/>
        <w:rPr>
          <w:rFonts w:asciiTheme="majorHAnsi" w:hAnsiTheme="majorHAnsi" w:cs="Times New Roman"/>
        </w:rPr>
      </w:pPr>
    </w:p>
    <w:p w:rsidR="00E16C00" w:rsidRPr="00AE3372" w:rsidRDefault="00D91742" w:rsidP="00CB18E1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>Assume that the facts in #1 are different and that Christy received class A common stock and Dee received class B common stock at the founding of Veggie Heaven.  Three years after Christy and Dee form Veggie Heaven</w:t>
      </w:r>
      <w:r w:rsidR="00303CDC" w:rsidRPr="00AE3372">
        <w:rPr>
          <w:rFonts w:asciiTheme="majorHAnsi" w:hAnsiTheme="majorHAnsi" w:cs="Times New Roman"/>
        </w:rPr>
        <w:t xml:space="preserve"> (and three years after the last time any contribution was made to the corpora</w:t>
      </w:r>
      <w:r w:rsidR="0004430B" w:rsidRPr="00AE3372">
        <w:rPr>
          <w:rFonts w:asciiTheme="majorHAnsi" w:hAnsiTheme="majorHAnsi" w:cs="Times New Roman"/>
        </w:rPr>
        <w:t xml:space="preserve">tion), </w:t>
      </w:r>
      <w:r w:rsidRPr="00AE3372">
        <w:rPr>
          <w:rFonts w:asciiTheme="majorHAnsi" w:hAnsiTheme="majorHAnsi" w:cs="Times New Roman"/>
        </w:rPr>
        <w:t xml:space="preserve">Christy </w:t>
      </w:r>
      <w:r w:rsidR="00A73DCC" w:rsidRPr="00AE3372">
        <w:rPr>
          <w:rFonts w:asciiTheme="majorHAnsi" w:hAnsiTheme="majorHAnsi" w:cs="Times New Roman"/>
        </w:rPr>
        <w:t xml:space="preserve">contributes </w:t>
      </w:r>
      <w:r w:rsidRPr="00AE3372">
        <w:rPr>
          <w:rFonts w:asciiTheme="majorHAnsi" w:hAnsiTheme="majorHAnsi" w:cs="Times New Roman"/>
        </w:rPr>
        <w:t xml:space="preserve">the </w:t>
      </w:r>
      <w:r w:rsidR="00A73DCC" w:rsidRPr="00AE3372">
        <w:rPr>
          <w:rFonts w:asciiTheme="majorHAnsi" w:hAnsiTheme="majorHAnsi" w:cs="Times New Roman"/>
        </w:rPr>
        <w:t xml:space="preserve">land </w:t>
      </w:r>
      <w:r w:rsidRPr="00AE3372">
        <w:rPr>
          <w:rFonts w:asciiTheme="majorHAnsi" w:hAnsiTheme="majorHAnsi" w:cs="Times New Roman"/>
        </w:rPr>
        <w:t xml:space="preserve">next door to the restaurant </w:t>
      </w:r>
      <w:r w:rsidR="00A73DCC" w:rsidRPr="00AE3372">
        <w:rPr>
          <w:rFonts w:asciiTheme="majorHAnsi" w:hAnsiTheme="majorHAnsi" w:cs="Times New Roman"/>
        </w:rPr>
        <w:t>with a basis of $</w:t>
      </w:r>
      <w:r w:rsidRPr="00AE3372">
        <w:rPr>
          <w:rFonts w:asciiTheme="majorHAnsi" w:hAnsiTheme="majorHAnsi" w:cs="Times New Roman"/>
        </w:rPr>
        <w:t>10,000</w:t>
      </w:r>
      <w:r w:rsidR="00A73DCC" w:rsidRPr="00AE3372">
        <w:rPr>
          <w:rFonts w:asciiTheme="majorHAnsi" w:hAnsiTheme="majorHAnsi" w:cs="Times New Roman"/>
        </w:rPr>
        <w:t xml:space="preserve"> and a fair market value of $</w:t>
      </w:r>
      <w:r w:rsidRPr="00AE3372">
        <w:rPr>
          <w:rFonts w:asciiTheme="majorHAnsi" w:hAnsiTheme="majorHAnsi" w:cs="Times New Roman"/>
        </w:rPr>
        <w:t>20,000 to VH</w:t>
      </w:r>
      <w:r w:rsidR="00A73DCC" w:rsidRPr="00AE3372">
        <w:rPr>
          <w:rFonts w:asciiTheme="majorHAnsi" w:hAnsiTheme="majorHAnsi" w:cs="Times New Roman"/>
        </w:rPr>
        <w:t xml:space="preserve"> in exchange for shares of class B common s</w:t>
      </w:r>
      <w:r w:rsidRPr="00AE3372">
        <w:rPr>
          <w:rFonts w:asciiTheme="majorHAnsi" w:hAnsiTheme="majorHAnsi" w:cs="Times New Roman"/>
        </w:rPr>
        <w:t>tock.  After the contribution, Christy</w:t>
      </w:r>
      <w:r w:rsidR="00A73DCC" w:rsidRPr="00AE3372">
        <w:rPr>
          <w:rFonts w:asciiTheme="majorHAnsi" w:hAnsiTheme="majorHAnsi" w:cs="Times New Roman"/>
        </w:rPr>
        <w:t xml:space="preserve"> owns 100% of the class A common stock outstanding (the terms of which provide that (i) holders of class A common stock will collectively be entitled to 90% of the votes anytime shareholders vote and (ii) holders of class A common stock will collectively be entitled to 50% of distributions anytime the corp</w:t>
      </w:r>
      <w:r w:rsidRPr="00AE3372">
        <w:rPr>
          <w:rFonts w:asciiTheme="majorHAnsi" w:hAnsiTheme="majorHAnsi" w:cs="Times New Roman"/>
        </w:rPr>
        <w:t>oration makes a distribution), Christy</w:t>
      </w:r>
      <w:r w:rsidR="00A73DCC" w:rsidRPr="00AE3372">
        <w:rPr>
          <w:rFonts w:asciiTheme="majorHAnsi" w:hAnsiTheme="majorHAnsi" w:cs="Times New Roman"/>
        </w:rPr>
        <w:t xml:space="preserve"> owns 5% of the class B common stock (the terms of which provide that (i) holders of class B common stock will collectively be entitled to 10% of the votes anytime shareholders vote and (ii) holders of class B common stock will collectively be entitled to 50% of distributions anytime the corporation makes a distribution), and </w:t>
      </w:r>
      <w:r w:rsidRPr="00AE3372">
        <w:rPr>
          <w:rFonts w:asciiTheme="majorHAnsi" w:hAnsiTheme="majorHAnsi" w:cs="Times New Roman"/>
        </w:rPr>
        <w:t>Dee</w:t>
      </w:r>
      <w:r w:rsidR="00A73DCC" w:rsidRPr="00AE3372">
        <w:rPr>
          <w:rFonts w:asciiTheme="majorHAnsi" w:hAnsiTheme="majorHAnsi" w:cs="Times New Roman"/>
        </w:rPr>
        <w:t xml:space="preserve"> owns the remaining 95% of the class B common stock. </w:t>
      </w:r>
    </w:p>
    <w:p w:rsidR="00E16C00" w:rsidRPr="00AE3372" w:rsidRDefault="00E16C00" w:rsidP="00E16C00">
      <w:pPr>
        <w:pStyle w:val="ListParagraph"/>
        <w:rPr>
          <w:rFonts w:asciiTheme="majorHAnsi" w:hAnsiTheme="majorHAnsi" w:cs="Times New Roman"/>
        </w:rPr>
      </w:pPr>
    </w:p>
    <w:p w:rsidR="00EF29E2" w:rsidRPr="00AE3372" w:rsidRDefault="00176750" w:rsidP="00E16C00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t>Does the contribution by Christy</w:t>
      </w:r>
      <w:r w:rsidR="00CB18E1" w:rsidRPr="00AE3372">
        <w:rPr>
          <w:rFonts w:asciiTheme="majorHAnsi" w:hAnsiTheme="majorHAnsi" w:cs="Times New Roman"/>
          <w:b/>
        </w:rPr>
        <w:t xml:space="preserve"> qualify for non-recognition under Section 351?  </w:t>
      </w:r>
    </w:p>
    <w:p w:rsidR="00E16C00" w:rsidRPr="00AE3372" w:rsidRDefault="00E16C00" w:rsidP="00E16C00">
      <w:pPr>
        <w:rPr>
          <w:rFonts w:asciiTheme="majorHAnsi" w:hAnsiTheme="majorHAnsi" w:cs="Times New Roman"/>
          <w:b/>
        </w:rPr>
      </w:pPr>
    </w:p>
    <w:p w:rsidR="00E16C00" w:rsidRPr="00AE3372" w:rsidRDefault="00176750" w:rsidP="00E16C00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>Assuming the same facts as in #1, but Christy received class A common stock and Dee received class B common stock when Veggie Heaven was formed.</w:t>
      </w:r>
      <w:r w:rsidR="00CB18E1" w:rsidRPr="00AE3372">
        <w:rPr>
          <w:rFonts w:asciiTheme="majorHAnsi" w:hAnsiTheme="majorHAnsi" w:cs="Times New Roman"/>
        </w:rPr>
        <w:t xml:space="preserve">  Three years after the corporation was formed (and three years after the last time any contribution</w:t>
      </w:r>
      <w:r w:rsidRPr="00AE3372">
        <w:rPr>
          <w:rFonts w:asciiTheme="majorHAnsi" w:hAnsiTheme="majorHAnsi" w:cs="Times New Roman"/>
        </w:rPr>
        <w:t xml:space="preserve"> was made to the corporation), Christy</w:t>
      </w:r>
      <w:r w:rsidR="00CB18E1" w:rsidRPr="00AE3372">
        <w:rPr>
          <w:rFonts w:asciiTheme="majorHAnsi" w:hAnsiTheme="majorHAnsi" w:cs="Times New Roman"/>
        </w:rPr>
        <w:t xml:space="preserve"> cont</w:t>
      </w:r>
      <w:r w:rsidRPr="00AE3372">
        <w:rPr>
          <w:rFonts w:asciiTheme="majorHAnsi" w:hAnsiTheme="majorHAnsi" w:cs="Times New Roman"/>
        </w:rPr>
        <w:t>ributes land with a basis of $10,000 and a fair market value of $20,000</w:t>
      </w:r>
      <w:r w:rsidR="00F32E18">
        <w:rPr>
          <w:rFonts w:asciiTheme="majorHAnsi" w:hAnsiTheme="majorHAnsi" w:cs="Times New Roman"/>
        </w:rPr>
        <w:t xml:space="preserve"> to Veggie Heaven</w:t>
      </w:r>
      <w:r w:rsidR="00CB18E1" w:rsidRPr="00AE3372">
        <w:rPr>
          <w:rFonts w:asciiTheme="majorHAnsi" w:hAnsiTheme="majorHAnsi" w:cs="Times New Roman"/>
        </w:rPr>
        <w:t xml:space="preserve"> in exchange </w:t>
      </w:r>
      <w:r w:rsidR="00DD5E8F" w:rsidRPr="00AE3372">
        <w:rPr>
          <w:rFonts w:asciiTheme="majorHAnsi" w:hAnsiTheme="majorHAnsi" w:cs="Times New Roman"/>
        </w:rPr>
        <w:t>for 200 shares of class A nonvoting</w:t>
      </w:r>
      <w:r w:rsidR="00CB18E1" w:rsidRPr="00AE3372">
        <w:rPr>
          <w:rFonts w:asciiTheme="majorHAnsi" w:hAnsiTheme="majorHAnsi" w:cs="Times New Roman"/>
        </w:rPr>
        <w:t xml:space="preserve"> stock.  After the contribution, A owns 100% of the class A common stock outstanding (the terms of which provide that (i) holders of class A common stock will collectively </w:t>
      </w:r>
      <w:r w:rsidR="00DD5E8F" w:rsidRPr="00AE3372">
        <w:rPr>
          <w:rFonts w:asciiTheme="majorHAnsi" w:hAnsiTheme="majorHAnsi" w:cs="Times New Roman"/>
        </w:rPr>
        <w:t>be entitled to 10</w:t>
      </w:r>
      <w:r w:rsidR="00CB18E1" w:rsidRPr="00AE3372">
        <w:rPr>
          <w:rFonts w:asciiTheme="majorHAnsi" w:hAnsiTheme="majorHAnsi" w:cs="Times New Roman"/>
        </w:rPr>
        <w:t xml:space="preserve">0% of the votes anytime shareholders vote and (ii) holders of class A common stock will collectively </w:t>
      </w:r>
      <w:r w:rsidR="00DD5E8F" w:rsidRPr="00AE3372">
        <w:rPr>
          <w:rFonts w:asciiTheme="majorHAnsi" w:hAnsiTheme="majorHAnsi" w:cs="Times New Roman"/>
        </w:rPr>
        <w:t>be entitled to 1</w:t>
      </w:r>
      <w:r w:rsidR="00CB18E1" w:rsidRPr="00AE3372">
        <w:rPr>
          <w:rFonts w:asciiTheme="majorHAnsi" w:hAnsiTheme="majorHAnsi" w:cs="Times New Roman"/>
        </w:rPr>
        <w:t>0% of distributions anytime the corporation makes a distribution)</w:t>
      </w:r>
      <w:r w:rsidR="00DD5E8F" w:rsidRPr="00AE3372">
        <w:rPr>
          <w:rFonts w:asciiTheme="majorHAnsi" w:hAnsiTheme="majorHAnsi" w:cs="Times New Roman"/>
        </w:rPr>
        <w:t>, A owns 100</w:t>
      </w:r>
      <w:r w:rsidR="00CB18E1" w:rsidRPr="00AE3372">
        <w:rPr>
          <w:rFonts w:asciiTheme="majorHAnsi" w:hAnsiTheme="majorHAnsi" w:cs="Times New Roman"/>
        </w:rPr>
        <w:t xml:space="preserve">% of the </w:t>
      </w:r>
      <w:r w:rsidR="00DD5E8F" w:rsidRPr="00AE3372">
        <w:rPr>
          <w:rFonts w:asciiTheme="majorHAnsi" w:hAnsiTheme="majorHAnsi" w:cs="Times New Roman"/>
        </w:rPr>
        <w:t>200 shares outstanding of class A nonvoting</w:t>
      </w:r>
      <w:r w:rsidR="00CB18E1" w:rsidRPr="00AE3372">
        <w:rPr>
          <w:rFonts w:asciiTheme="majorHAnsi" w:hAnsiTheme="majorHAnsi" w:cs="Times New Roman"/>
        </w:rPr>
        <w:t xml:space="preserve"> stock (the terms of which provide that (i) </w:t>
      </w:r>
      <w:r w:rsidR="00DD5E8F" w:rsidRPr="00AE3372">
        <w:rPr>
          <w:rFonts w:asciiTheme="majorHAnsi" w:hAnsiTheme="majorHAnsi" w:cs="Times New Roman"/>
        </w:rPr>
        <w:t>holders will not be entitled to vote and (ii) holders of class A nonvoting</w:t>
      </w:r>
      <w:r w:rsidR="00CB18E1" w:rsidRPr="00AE3372">
        <w:rPr>
          <w:rFonts w:asciiTheme="majorHAnsi" w:hAnsiTheme="majorHAnsi" w:cs="Times New Roman"/>
        </w:rPr>
        <w:t xml:space="preserve"> stock will collectively </w:t>
      </w:r>
      <w:r w:rsidR="00DD5E8F" w:rsidRPr="00AE3372">
        <w:rPr>
          <w:rFonts w:asciiTheme="majorHAnsi" w:hAnsiTheme="majorHAnsi" w:cs="Times New Roman"/>
        </w:rPr>
        <w:t>be entitled to 2</w:t>
      </w:r>
      <w:r w:rsidR="00CB18E1" w:rsidRPr="00AE3372">
        <w:rPr>
          <w:rFonts w:asciiTheme="majorHAnsi" w:hAnsiTheme="majorHAnsi" w:cs="Times New Roman"/>
        </w:rPr>
        <w:t>0% of distributions anytime the corporat</w:t>
      </w:r>
      <w:r w:rsidRPr="00AE3372">
        <w:rPr>
          <w:rFonts w:asciiTheme="majorHAnsi" w:hAnsiTheme="majorHAnsi" w:cs="Times New Roman"/>
        </w:rPr>
        <w:t>ion makes a distribution), and Dee</w:t>
      </w:r>
      <w:r w:rsidR="00CB18E1" w:rsidRPr="00AE3372">
        <w:rPr>
          <w:rFonts w:asciiTheme="majorHAnsi" w:hAnsiTheme="majorHAnsi" w:cs="Times New Roman"/>
        </w:rPr>
        <w:t xml:space="preserve"> owns </w:t>
      </w:r>
      <w:r w:rsidR="00DD5E8F" w:rsidRPr="00AE3372">
        <w:rPr>
          <w:rFonts w:asciiTheme="majorHAnsi" w:hAnsiTheme="majorHAnsi" w:cs="Times New Roman"/>
        </w:rPr>
        <w:t>100% of the 10 shares of class B nonvoting stock (the terms of which provide that (i) holders will not be entitled to vote and (ii) holders of class B nonvoting stock will collectively be entitled to 70% of distributions anytime the corporation makes a distribution)</w:t>
      </w:r>
      <w:r w:rsidRPr="00AE3372">
        <w:rPr>
          <w:rFonts w:asciiTheme="majorHAnsi" w:hAnsiTheme="majorHAnsi" w:cs="Times New Roman"/>
        </w:rPr>
        <w:t xml:space="preserve">. </w:t>
      </w:r>
    </w:p>
    <w:p w:rsidR="00E16C00" w:rsidRPr="00AE3372" w:rsidRDefault="00E16C00" w:rsidP="00E16C00">
      <w:pPr>
        <w:pStyle w:val="ListParagraph"/>
        <w:rPr>
          <w:rFonts w:asciiTheme="majorHAnsi" w:hAnsiTheme="majorHAnsi" w:cs="Times New Roman"/>
        </w:rPr>
      </w:pPr>
    </w:p>
    <w:p w:rsidR="00CB18E1" w:rsidRPr="00AE3372" w:rsidRDefault="00176750" w:rsidP="00E16C00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  <w:b/>
        </w:rPr>
        <w:lastRenderedPageBreak/>
        <w:t>Does the contribution by Christy</w:t>
      </w:r>
      <w:r w:rsidR="00CB18E1" w:rsidRPr="00AE3372">
        <w:rPr>
          <w:rFonts w:asciiTheme="majorHAnsi" w:hAnsiTheme="majorHAnsi" w:cs="Times New Roman"/>
          <w:b/>
        </w:rPr>
        <w:t xml:space="preserve"> qualify for non-recognition under Section 351?  </w:t>
      </w:r>
    </w:p>
    <w:p w:rsidR="00E16C00" w:rsidRPr="00AE3372" w:rsidRDefault="00E16C00" w:rsidP="00E16C00">
      <w:pPr>
        <w:pStyle w:val="ListParagraph"/>
        <w:ind w:left="1440"/>
        <w:rPr>
          <w:rFonts w:asciiTheme="majorHAnsi" w:hAnsiTheme="majorHAnsi" w:cs="Times New Roman"/>
        </w:rPr>
      </w:pPr>
    </w:p>
    <w:p w:rsidR="00E16C00" w:rsidRPr="00AE3372" w:rsidRDefault="00D91742" w:rsidP="00E16C00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3372">
        <w:rPr>
          <w:rFonts w:asciiTheme="majorHAnsi" w:hAnsiTheme="majorHAnsi" w:cs="Times New Roman"/>
        </w:rPr>
        <w:t xml:space="preserve">Assume Christy formed Veggie Heaven by herself and owns all 100 shares of voting common stock.  Later, Christy contributes a secret formula for hummus to Veggie Heaven, which she bought from a famous chef.  Christy’s tax basis in the secret formula is $5000 and the fair market value of the secret formula is $10,000.  Veggie Heaven issues no shares of stock to A in exchange for the secret formula.  </w:t>
      </w:r>
    </w:p>
    <w:p w:rsidR="00E16C00" w:rsidRPr="00AE3372" w:rsidRDefault="00E16C00" w:rsidP="00E16C00">
      <w:pPr>
        <w:pStyle w:val="ListParagraph"/>
        <w:rPr>
          <w:rFonts w:asciiTheme="majorHAnsi" w:hAnsiTheme="majorHAnsi" w:cs="Times New Roman"/>
        </w:rPr>
      </w:pPr>
    </w:p>
    <w:p w:rsidR="006648C4" w:rsidRPr="00AE3372" w:rsidRDefault="00E16C00" w:rsidP="00E16C00">
      <w:pPr>
        <w:pStyle w:val="ListParagraph"/>
        <w:rPr>
          <w:rFonts w:asciiTheme="majorHAnsi" w:hAnsiTheme="majorHAnsi" w:cs="Times New Roman"/>
          <w:b/>
        </w:rPr>
      </w:pPr>
      <w:r w:rsidRPr="00AE3372">
        <w:rPr>
          <w:rFonts w:asciiTheme="majorHAnsi" w:hAnsiTheme="majorHAnsi" w:cs="Times New Roman"/>
        </w:rPr>
        <w:t>(a)</w:t>
      </w:r>
      <w:r w:rsidRPr="00AE3372">
        <w:rPr>
          <w:rFonts w:asciiTheme="majorHAnsi" w:hAnsiTheme="majorHAnsi" w:cs="Times New Roman"/>
        </w:rPr>
        <w:tab/>
      </w:r>
      <w:r w:rsidR="00D91742" w:rsidRPr="00AE3372">
        <w:rPr>
          <w:rFonts w:asciiTheme="majorHAnsi" w:hAnsiTheme="majorHAnsi" w:cs="Times New Roman"/>
          <w:b/>
        </w:rPr>
        <w:t>Will the contribution of the secret formula constitute a transfer of property “in exchange for stock” that qualifies for non-recognition under Section 351?</w:t>
      </w:r>
      <w:r w:rsidRPr="00AE3372">
        <w:rPr>
          <w:rFonts w:asciiTheme="majorHAnsi" w:hAnsiTheme="majorHAnsi" w:cs="Times New Roman"/>
          <w:b/>
        </w:rPr>
        <w:t xml:space="preserve"> </w:t>
      </w:r>
    </w:p>
    <w:p w:rsidR="00016FD0" w:rsidRPr="00AE3372" w:rsidRDefault="00016FD0" w:rsidP="000A4952">
      <w:pPr>
        <w:pStyle w:val="ListParagraph"/>
        <w:rPr>
          <w:rFonts w:asciiTheme="majorHAnsi" w:hAnsiTheme="majorHAnsi" w:cs="Times New Roman"/>
        </w:rPr>
      </w:pPr>
      <w:bookmarkStart w:id="0" w:name="_GoBack"/>
      <w:bookmarkEnd w:id="0"/>
    </w:p>
    <w:sectPr w:rsidR="00016FD0" w:rsidRPr="00AE3372" w:rsidSect="007A06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C3" w:rsidRDefault="00EC7DC3" w:rsidP="005C0CA0">
      <w:pPr>
        <w:spacing w:after="0" w:line="240" w:lineRule="auto"/>
      </w:pPr>
      <w:r>
        <w:separator/>
      </w:r>
    </w:p>
  </w:endnote>
  <w:endnote w:type="continuationSeparator" w:id="0">
    <w:p w:rsidR="00EC7DC3" w:rsidRDefault="00EC7DC3" w:rsidP="005C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4485"/>
      <w:docPartObj>
        <w:docPartGallery w:val="Page Numbers (Bottom of Page)"/>
        <w:docPartUnique/>
      </w:docPartObj>
    </w:sdtPr>
    <w:sdtEndPr/>
    <w:sdtContent>
      <w:p w:rsidR="005C0CA0" w:rsidRDefault="00373DAC">
        <w:pPr>
          <w:pStyle w:val="Footer"/>
          <w:jc w:val="right"/>
        </w:pPr>
        <w:r>
          <w:fldChar w:fldCharType="begin"/>
        </w:r>
        <w:r w:rsidR="007D6078">
          <w:instrText xml:space="preserve"> PAGE   \* MERGEFORMAT </w:instrText>
        </w:r>
        <w:r>
          <w:fldChar w:fldCharType="separate"/>
        </w:r>
        <w:r w:rsidR="00A350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0CA0" w:rsidRDefault="005C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C3" w:rsidRDefault="00EC7DC3" w:rsidP="005C0CA0">
      <w:pPr>
        <w:spacing w:after="0" w:line="240" w:lineRule="auto"/>
      </w:pPr>
      <w:r>
        <w:separator/>
      </w:r>
    </w:p>
  </w:footnote>
  <w:footnote w:type="continuationSeparator" w:id="0">
    <w:p w:rsidR="00EC7DC3" w:rsidRDefault="00EC7DC3" w:rsidP="005C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324"/>
    <w:multiLevelType w:val="hybridMultilevel"/>
    <w:tmpl w:val="0D409056"/>
    <w:lvl w:ilvl="0" w:tplc="A3CC706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32F665EE">
      <w:start w:val="123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304EF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9365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B7839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1E21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CAE71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EF6EB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0BC7D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12DB1573"/>
    <w:multiLevelType w:val="hybridMultilevel"/>
    <w:tmpl w:val="1F62594A"/>
    <w:lvl w:ilvl="0" w:tplc="84007E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A7800"/>
    <w:multiLevelType w:val="hybridMultilevel"/>
    <w:tmpl w:val="9A540FC2"/>
    <w:lvl w:ilvl="0" w:tplc="CE485C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B9384F8A">
      <w:start w:val="123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160DD18">
      <w:start w:val="123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800C6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A381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A829C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A4418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3AD3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63A35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CC835E4"/>
    <w:multiLevelType w:val="hybridMultilevel"/>
    <w:tmpl w:val="308CBBE2"/>
    <w:lvl w:ilvl="0" w:tplc="6E9AA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7BD0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C9E2C">
      <w:start w:val="11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E6DD4">
      <w:start w:val="113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053A4">
      <w:start w:val="1135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8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0C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D86B22"/>
    <w:multiLevelType w:val="hybridMultilevel"/>
    <w:tmpl w:val="B1047B7A"/>
    <w:lvl w:ilvl="0" w:tplc="86CEF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CF12A">
      <w:start w:val="12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CC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F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E5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0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AF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D0514D"/>
    <w:multiLevelType w:val="hybridMultilevel"/>
    <w:tmpl w:val="259C51D4"/>
    <w:lvl w:ilvl="0" w:tplc="A94899F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F76863A">
      <w:start w:val="129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18C3DCE">
      <w:start w:val="129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64CAB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BA4E0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EFAAA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4AA4C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CAC60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B365DA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66993C68"/>
    <w:multiLevelType w:val="hybridMultilevel"/>
    <w:tmpl w:val="5944E360"/>
    <w:lvl w:ilvl="0" w:tplc="991649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A7385"/>
    <w:multiLevelType w:val="hybridMultilevel"/>
    <w:tmpl w:val="BF98D4B6"/>
    <w:lvl w:ilvl="0" w:tplc="DCC0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8F7"/>
    <w:rsid w:val="00016FD0"/>
    <w:rsid w:val="0004430B"/>
    <w:rsid w:val="000A48F6"/>
    <w:rsid w:val="000A4952"/>
    <w:rsid w:val="00102560"/>
    <w:rsid w:val="00163AD7"/>
    <w:rsid w:val="00176750"/>
    <w:rsid w:val="00273A96"/>
    <w:rsid w:val="002E0C7E"/>
    <w:rsid w:val="00303CDC"/>
    <w:rsid w:val="0032571B"/>
    <w:rsid w:val="00373DAC"/>
    <w:rsid w:val="003D2AA9"/>
    <w:rsid w:val="00492BF3"/>
    <w:rsid w:val="00497C70"/>
    <w:rsid w:val="005C0CA0"/>
    <w:rsid w:val="005C32B0"/>
    <w:rsid w:val="006648C4"/>
    <w:rsid w:val="007A0673"/>
    <w:rsid w:val="007D6078"/>
    <w:rsid w:val="00807927"/>
    <w:rsid w:val="00897780"/>
    <w:rsid w:val="00912FD8"/>
    <w:rsid w:val="009A4273"/>
    <w:rsid w:val="009D2678"/>
    <w:rsid w:val="00A04D4A"/>
    <w:rsid w:val="00A236F6"/>
    <w:rsid w:val="00A35092"/>
    <w:rsid w:val="00A36FB4"/>
    <w:rsid w:val="00A73DCC"/>
    <w:rsid w:val="00A764F1"/>
    <w:rsid w:val="00AC74ED"/>
    <w:rsid w:val="00AE3372"/>
    <w:rsid w:val="00B5529D"/>
    <w:rsid w:val="00BA1AEF"/>
    <w:rsid w:val="00C460D3"/>
    <w:rsid w:val="00CB18E1"/>
    <w:rsid w:val="00D91742"/>
    <w:rsid w:val="00DD3076"/>
    <w:rsid w:val="00DD5E8F"/>
    <w:rsid w:val="00E01295"/>
    <w:rsid w:val="00E16C00"/>
    <w:rsid w:val="00E308F7"/>
    <w:rsid w:val="00E352C9"/>
    <w:rsid w:val="00E563EE"/>
    <w:rsid w:val="00EA04D8"/>
    <w:rsid w:val="00EB7A03"/>
    <w:rsid w:val="00EC7DC3"/>
    <w:rsid w:val="00EE0656"/>
    <w:rsid w:val="00EF29E2"/>
    <w:rsid w:val="00F32E18"/>
    <w:rsid w:val="00F75C51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0EC5"/>
  <w15:docId w15:val="{B96B5CCC-1661-4AD5-A1E9-2E24220F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A0"/>
  </w:style>
  <w:style w:type="paragraph" w:styleId="Footer">
    <w:name w:val="footer"/>
    <w:basedOn w:val="Normal"/>
    <w:link w:val="FooterChar"/>
    <w:uiPriority w:val="99"/>
    <w:unhideWhenUsed/>
    <w:rsid w:val="005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6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2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9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5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7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24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74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369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5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4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Christine Hurt</cp:lastModifiedBy>
  <cp:revision>16</cp:revision>
  <dcterms:created xsi:type="dcterms:W3CDTF">2012-02-08T04:31:00Z</dcterms:created>
  <dcterms:modified xsi:type="dcterms:W3CDTF">2018-09-12T17:26:00Z</dcterms:modified>
</cp:coreProperties>
</file>