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849" w:rsidRPr="00646849" w:rsidRDefault="00646849" w:rsidP="00646849">
      <w:pPr>
        <w:jc w:val="center"/>
        <w:rPr>
          <w:rFonts w:asciiTheme="majorHAnsi" w:hAnsiTheme="majorHAnsi"/>
          <w:b/>
          <w:bCs/>
          <w:sz w:val="22"/>
          <w:szCs w:val="22"/>
        </w:rPr>
      </w:pPr>
      <w:r w:rsidRPr="00646849">
        <w:rPr>
          <w:rFonts w:asciiTheme="majorHAnsi" w:hAnsiTheme="majorHAnsi"/>
          <w:sz w:val="22"/>
          <w:szCs w:val="22"/>
          <w:lang w:val="en-CA"/>
        </w:rPr>
        <w:fldChar w:fldCharType="begin"/>
      </w:r>
      <w:r w:rsidRPr="00646849">
        <w:rPr>
          <w:rFonts w:asciiTheme="majorHAnsi" w:hAnsiTheme="majorHAnsi"/>
          <w:sz w:val="22"/>
          <w:szCs w:val="22"/>
          <w:lang w:val="en-CA"/>
        </w:rPr>
        <w:instrText xml:space="preserve"> SEQ CHAPTER \h \r 1</w:instrText>
      </w:r>
      <w:r w:rsidRPr="00646849">
        <w:rPr>
          <w:rFonts w:asciiTheme="majorHAnsi" w:hAnsiTheme="majorHAnsi"/>
          <w:sz w:val="22"/>
          <w:szCs w:val="22"/>
          <w:lang w:val="en-CA"/>
        </w:rPr>
        <w:fldChar w:fldCharType="end"/>
      </w:r>
      <w:r w:rsidRPr="00646849">
        <w:rPr>
          <w:rFonts w:asciiTheme="majorHAnsi" w:hAnsiTheme="majorHAnsi"/>
          <w:b/>
          <w:bCs/>
          <w:sz w:val="22"/>
          <w:szCs w:val="22"/>
        </w:rPr>
        <w:t>Corporate Taxation</w:t>
      </w:r>
    </w:p>
    <w:p w:rsidR="00646849" w:rsidRPr="00646849" w:rsidRDefault="00646849" w:rsidP="00646849">
      <w:pPr>
        <w:jc w:val="center"/>
        <w:rPr>
          <w:rFonts w:asciiTheme="majorHAnsi" w:hAnsiTheme="majorHAnsi"/>
          <w:b/>
          <w:bCs/>
          <w:sz w:val="22"/>
          <w:szCs w:val="22"/>
        </w:rPr>
      </w:pPr>
      <w:r w:rsidRPr="00646849">
        <w:rPr>
          <w:rFonts w:asciiTheme="majorHAnsi" w:hAnsiTheme="majorHAnsi"/>
          <w:b/>
          <w:bCs/>
          <w:sz w:val="22"/>
          <w:szCs w:val="22"/>
        </w:rPr>
        <w:t>Professor Christine Hurt</w:t>
      </w:r>
    </w:p>
    <w:p w:rsidR="00646849" w:rsidRPr="00646849" w:rsidRDefault="00D31CF7" w:rsidP="00646849">
      <w:pPr>
        <w:jc w:val="center"/>
        <w:rPr>
          <w:rFonts w:asciiTheme="majorHAnsi" w:hAnsiTheme="majorHAnsi"/>
          <w:sz w:val="22"/>
          <w:szCs w:val="22"/>
        </w:rPr>
      </w:pPr>
      <w:r>
        <w:rPr>
          <w:rFonts w:asciiTheme="majorHAnsi" w:hAnsiTheme="majorHAnsi"/>
          <w:b/>
          <w:bCs/>
          <w:sz w:val="22"/>
          <w:szCs w:val="22"/>
        </w:rPr>
        <w:t>Fall 2019</w:t>
      </w:r>
    </w:p>
    <w:p w:rsidR="00646849" w:rsidRPr="00646849" w:rsidRDefault="00646849" w:rsidP="00646849">
      <w:pPr>
        <w:rPr>
          <w:rFonts w:asciiTheme="majorHAnsi" w:hAnsiTheme="majorHAnsi"/>
          <w:sz w:val="22"/>
          <w:szCs w:val="22"/>
        </w:rPr>
      </w:pPr>
    </w:p>
    <w:p w:rsidR="00646849" w:rsidRPr="00646849" w:rsidRDefault="00646849" w:rsidP="00646849">
      <w:pPr>
        <w:jc w:val="center"/>
        <w:rPr>
          <w:rFonts w:asciiTheme="majorHAnsi" w:hAnsiTheme="majorHAnsi"/>
          <w:sz w:val="22"/>
          <w:szCs w:val="22"/>
        </w:rPr>
      </w:pPr>
      <w:r w:rsidRPr="00646849">
        <w:rPr>
          <w:rFonts w:asciiTheme="majorHAnsi" w:hAnsiTheme="majorHAnsi"/>
          <w:b/>
          <w:bCs/>
          <w:sz w:val="22"/>
          <w:szCs w:val="22"/>
        </w:rPr>
        <w:t>Course Information</w:t>
      </w:r>
    </w:p>
    <w:p w:rsidR="00646849" w:rsidRPr="00646849" w:rsidRDefault="00646849" w:rsidP="00646849">
      <w:pPr>
        <w:rPr>
          <w:rFonts w:asciiTheme="majorHAnsi" w:hAnsiTheme="majorHAnsi"/>
          <w:sz w:val="22"/>
          <w:szCs w:val="22"/>
        </w:rPr>
      </w:pPr>
    </w:p>
    <w:p w:rsidR="00646849" w:rsidRPr="00646849" w:rsidRDefault="00646849" w:rsidP="00646849">
      <w:pPr>
        <w:rPr>
          <w:rFonts w:asciiTheme="majorHAnsi" w:hAnsiTheme="majorHAnsi"/>
          <w:sz w:val="22"/>
          <w:szCs w:val="22"/>
        </w:rPr>
      </w:pPr>
      <w:r w:rsidRPr="00646849">
        <w:rPr>
          <w:rFonts w:asciiTheme="majorHAnsi" w:hAnsiTheme="majorHAnsi"/>
          <w:sz w:val="22"/>
          <w:szCs w:val="22"/>
        </w:rPr>
        <w:t>Prof. Christine Hurt</w:t>
      </w:r>
    </w:p>
    <w:p w:rsidR="00646849" w:rsidRPr="00646849" w:rsidRDefault="0040342B" w:rsidP="00646849">
      <w:pPr>
        <w:rPr>
          <w:rFonts w:asciiTheme="majorHAnsi" w:hAnsiTheme="majorHAnsi"/>
          <w:sz w:val="22"/>
          <w:szCs w:val="22"/>
        </w:rPr>
      </w:pPr>
      <w:r>
        <w:rPr>
          <w:rFonts w:asciiTheme="majorHAnsi" w:hAnsiTheme="majorHAnsi"/>
          <w:sz w:val="22"/>
          <w:szCs w:val="22"/>
        </w:rPr>
        <w:t>Office 536</w:t>
      </w:r>
    </w:p>
    <w:p w:rsidR="00646849" w:rsidRPr="00646849" w:rsidRDefault="00646849" w:rsidP="00646849">
      <w:pPr>
        <w:rPr>
          <w:rFonts w:asciiTheme="majorHAnsi" w:hAnsiTheme="majorHAnsi"/>
          <w:sz w:val="22"/>
          <w:szCs w:val="22"/>
        </w:rPr>
      </w:pPr>
      <w:r>
        <w:rPr>
          <w:rFonts w:asciiTheme="majorHAnsi" w:hAnsiTheme="majorHAnsi"/>
          <w:sz w:val="22"/>
          <w:szCs w:val="22"/>
        </w:rPr>
        <w:t>hurtc@law.byu.edu</w:t>
      </w:r>
      <w:r w:rsidRPr="00646849">
        <w:rPr>
          <w:rFonts w:asciiTheme="majorHAnsi" w:hAnsiTheme="majorHAnsi"/>
          <w:sz w:val="22"/>
          <w:szCs w:val="22"/>
        </w:rPr>
        <w:tab/>
      </w:r>
      <w:r w:rsidRPr="00646849">
        <w:rPr>
          <w:rFonts w:asciiTheme="majorHAnsi" w:hAnsiTheme="majorHAnsi"/>
          <w:sz w:val="22"/>
          <w:szCs w:val="22"/>
        </w:rPr>
        <w:tab/>
      </w:r>
      <w:r w:rsidRPr="00646849">
        <w:rPr>
          <w:rFonts w:asciiTheme="majorHAnsi" w:hAnsiTheme="majorHAnsi"/>
          <w:sz w:val="22"/>
          <w:szCs w:val="22"/>
        </w:rPr>
        <w:tab/>
      </w:r>
      <w:r w:rsidRPr="00646849">
        <w:rPr>
          <w:rFonts w:asciiTheme="majorHAnsi" w:hAnsiTheme="majorHAnsi"/>
          <w:sz w:val="22"/>
          <w:szCs w:val="22"/>
        </w:rPr>
        <w:tab/>
      </w:r>
      <w:r w:rsidRPr="00646849">
        <w:rPr>
          <w:rFonts w:asciiTheme="majorHAnsi" w:hAnsiTheme="majorHAnsi"/>
          <w:sz w:val="22"/>
          <w:szCs w:val="22"/>
        </w:rPr>
        <w:tab/>
      </w:r>
    </w:p>
    <w:p w:rsidR="00646849" w:rsidRPr="00646849" w:rsidRDefault="00646849" w:rsidP="00646849">
      <w:pPr>
        <w:rPr>
          <w:rFonts w:asciiTheme="majorHAnsi" w:hAnsiTheme="majorHAnsi"/>
          <w:sz w:val="22"/>
          <w:szCs w:val="22"/>
        </w:rPr>
      </w:pPr>
      <w:r w:rsidRPr="00646849">
        <w:rPr>
          <w:rFonts w:asciiTheme="majorHAnsi" w:hAnsiTheme="majorHAnsi"/>
          <w:sz w:val="22"/>
          <w:szCs w:val="22"/>
        </w:rPr>
        <w:t xml:space="preserve">Office Hours: </w:t>
      </w:r>
      <w:r w:rsidR="008D3FEC">
        <w:rPr>
          <w:rFonts w:asciiTheme="majorHAnsi" w:hAnsiTheme="majorHAnsi"/>
          <w:sz w:val="22"/>
          <w:szCs w:val="22"/>
        </w:rPr>
        <w:t xml:space="preserve">Wednesdays 10:30-12:00; </w:t>
      </w:r>
      <w:r w:rsidR="0040342B">
        <w:rPr>
          <w:rFonts w:asciiTheme="majorHAnsi" w:hAnsiTheme="majorHAnsi"/>
          <w:sz w:val="22"/>
          <w:szCs w:val="22"/>
        </w:rPr>
        <w:t>drop-in</w:t>
      </w:r>
      <w:r w:rsidR="008D3FEC">
        <w:rPr>
          <w:rFonts w:asciiTheme="majorHAnsi" w:hAnsiTheme="majorHAnsi"/>
          <w:sz w:val="22"/>
          <w:szCs w:val="22"/>
        </w:rPr>
        <w:t>;</w:t>
      </w:r>
      <w:bookmarkStart w:id="0" w:name="_GoBack"/>
      <w:bookmarkEnd w:id="0"/>
      <w:r w:rsidR="0040342B">
        <w:rPr>
          <w:rFonts w:asciiTheme="majorHAnsi" w:hAnsiTheme="majorHAnsi"/>
          <w:sz w:val="22"/>
          <w:szCs w:val="22"/>
        </w:rPr>
        <w:t xml:space="preserve"> or by appointment</w:t>
      </w:r>
    </w:p>
    <w:p w:rsidR="00646849" w:rsidRPr="00646849" w:rsidRDefault="00646849" w:rsidP="00646849">
      <w:pPr>
        <w:rPr>
          <w:rFonts w:asciiTheme="majorHAnsi" w:hAnsiTheme="majorHAnsi"/>
          <w:sz w:val="22"/>
          <w:szCs w:val="22"/>
        </w:rPr>
      </w:pPr>
    </w:p>
    <w:p w:rsidR="00646849" w:rsidRPr="00880B6F" w:rsidRDefault="00646849" w:rsidP="00880B6F">
      <w:pPr>
        <w:pStyle w:val="ListParagraph"/>
        <w:numPr>
          <w:ilvl w:val="0"/>
          <w:numId w:val="5"/>
        </w:numPr>
        <w:rPr>
          <w:rFonts w:asciiTheme="majorHAnsi" w:hAnsiTheme="majorHAnsi"/>
          <w:sz w:val="22"/>
          <w:szCs w:val="22"/>
        </w:rPr>
      </w:pPr>
      <w:r w:rsidRPr="00880B6F">
        <w:rPr>
          <w:rFonts w:asciiTheme="majorHAnsi" w:hAnsiTheme="majorHAnsi"/>
          <w:b/>
          <w:bCs/>
          <w:sz w:val="22"/>
          <w:szCs w:val="22"/>
        </w:rPr>
        <w:t>Materials:</w:t>
      </w:r>
    </w:p>
    <w:p w:rsidR="00303479" w:rsidRDefault="00303479" w:rsidP="00303479">
      <w:pPr>
        <w:tabs>
          <w:tab w:val="left" w:pos="720"/>
          <w:tab w:val="left" w:pos="1440"/>
          <w:tab w:val="left" w:pos="2160"/>
          <w:tab w:val="left" w:pos="2880"/>
          <w:tab w:val="left" w:pos="3600"/>
        </w:tabs>
        <w:rPr>
          <w:rFonts w:asciiTheme="majorHAnsi" w:hAnsiTheme="majorHAnsi"/>
          <w:sz w:val="22"/>
          <w:szCs w:val="22"/>
        </w:rPr>
      </w:pPr>
    </w:p>
    <w:p w:rsidR="00646849" w:rsidRPr="00303479" w:rsidRDefault="00646849" w:rsidP="00303479">
      <w:pPr>
        <w:pStyle w:val="ListParagraph"/>
        <w:numPr>
          <w:ilvl w:val="0"/>
          <w:numId w:val="4"/>
        </w:numPr>
        <w:tabs>
          <w:tab w:val="left" w:pos="720"/>
          <w:tab w:val="left" w:pos="1440"/>
          <w:tab w:val="left" w:pos="2160"/>
          <w:tab w:val="left" w:pos="2880"/>
          <w:tab w:val="left" w:pos="3600"/>
        </w:tabs>
        <w:rPr>
          <w:rFonts w:asciiTheme="majorHAnsi" w:hAnsiTheme="majorHAnsi"/>
          <w:b/>
          <w:bCs/>
          <w:sz w:val="22"/>
          <w:szCs w:val="22"/>
        </w:rPr>
      </w:pPr>
      <w:r w:rsidRPr="00303479">
        <w:rPr>
          <w:rFonts w:asciiTheme="majorHAnsi" w:hAnsiTheme="majorHAnsi"/>
          <w:b/>
          <w:bCs/>
          <w:sz w:val="22"/>
          <w:szCs w:val="22"/>
        </w:rPr>
        <w:t>Required Materials:</w:t>
      </w:r>
      <w:r w:rsidRPr="00303479">
        <w:rPr>
          <w:rFonts w:asciiTheme="majorHAnsi" w:hAnsiTheme="majorHAnsi"/>
          <w:b/>
          <w:bCs/>
          <w:sz w:val="22"/>
          <w:szCs w:val="22"/>
        </w:rPr>
        <w:tab/>
      </w:r>
      <w:r w:rsidRPr="00303479">
        <w:rPr>
          <w:rFonts w:asciiTheme="majorHAnsi" w:hAnsiTheme="majorHAnsi"/>
          <w:b/>
          <w:bCs/>
          <w:sz w:val="22"/>
          <w:szCs w:val="22"/>
        </w:rPr>
        <w:tab/>
      </w:r>
    </w:p>
    <w:p w:rsidR="00646849" w:rsidRDefault="00646849" w:rsidP="00646849">
      <w:pPr>
        <w:tabs>
          <w:tab w:val="left" w:pos="720"/>
          <w:tab w:val="left" w:pos="1440"/>
          <w:tab w:val="left" w:pos="2160"/>
          <w:tab w:val="left" w:pos="2880"/>
          <w:tab w:val="left" w:pos="3600"/>
        </w:tabs>
        <w:ind w:left="360"/>
        <w:rPr>
          <w:rFonts w:asciiTheme="majorHAnsi" w:hAnsiTheme="majorHAnsi"/>
          <w:smallCaps/>
          <w:sz w:val="22"/>
          <w:szCs w:val="22"/>
        </w:rPr>
      </w:pPr>
    </w:p>
    <w:p w:rsidR="00646849" w:rsidRDefault="00646849" w:rsidP="00646849">
      <w:pPr>
        <w:tabs>
          <w:tab w:val="left" w:pos="720"/>
          <w:tab w:val="left" w:pos="1440"/>
          <w:tab w:val="left" w:pos="2160"/>
          <w:tab w:val="left" w:pos="2880"/>
          <w:tab w:val="left" w:pos="3600"/>
        </w:tabs>
        <w:ind w:left="360"/>
        <w:rPr>
          <w:rFonts w:asciiTheme="majorHAnsi" w:hAnsiTheme="majorHAnsi"/>
          <w:smallCaps/>
          <w:sz w:val="22"/>
          <w:szCs w:val="22"/>
        </w:rPr>
      </w:pPr>
    </w:p>
    <w:p w:rsidR="00646849" w:rsidRPr="00646849" w:rsidRDefault="00A11ABD" w:rsidP="00A11ABD">
      <w:pPr>
        <w:tabs>
          <w:tab w:val="left" w:pos="720"/>
          <w:tab w:val="left" w:pos="1440"/>
          <w:tab w:val="left" w:pos="2160"/>
          <w:tab w:val="left" w:pos="2880"/>
          <w:tab w:val="left" w:pos="3600"/>
        </w:tabs>
        <w:ind w:left="720"/>
        <w:rPr>
          <w:rFonts w:asciiTheme="majorHAnsi" w:hAnsiTheme="majorHAnsi"/>
          <w:smallCaps/>
          <w:sz w:val="22"/>
          <w:szCs w:val="22"/>
        </w:rPr>
      </w:pPr>
      <w:r>
        <w:rPr>
          <w:rFonts w:asciiTheme="majorHAnsi" w:hAnsiTheme="majorHAnsi"/>
          <w:smallCaps/>
          <w:sz w:val="22"/>
          <w:szCs w:val="22"/>
        </w:rPr>
        <w:t>Cheryl D. Block, Examples &amp; Explanations: Corporate Taxation (4</w:t>
      </w:r>
      <w:r w:rsidRPr="00A11ABD">
        <w:rPr>
          <w:rFonts w:asciiTheme="majorHAnsi" w:hAnsiTheme="majorHAnsi"/>
          <w:smallCaps/>
          <w:sz w:val="22"/>
          <w:szCs w:val="22"/>
          <w:vertAlign w:val="superscript"/>
        </w:rPr>
        <w:t>th</w:t>
      </w:r>
      <w:r>
        <w:rPr>
          <w:rFonts w:asciiTheme="majorHAnsi" w:hAnsiTheme="majorHAnsi"/>
          <w:smallCaps/>
          <w:sz w:val="22"/>
          <w:szCs w:val="22"/>
        </w:rPr>
        <w:t xml:space="preserve"> ed. 2010).</w:t>
      </w:r>
    </w:p>
    <w:p w:rsidR="00646849" w:rsidRPr="00646849" w:rsidRDefault="00646849" w:rsidP="00646849">
      <w:pPr>
        <w:rPr>
          <w:rFonts w:asciiTheme="majorHAnsi" w:hAnsiTheme="majorHAnsi"/>
          <w:smallCaps/>
          <w:sz w:val="22"/>
          <w:szCs w:val="22"/>
        </w:rPr>
      </w:pPr>
    </w:p>
    <w:p w:rsidR="00646849" w:rsidRPr="00646849" w:rsidRDefault="00646849" w:rsidP="00646849">
      <w:pPr>
        <w:tabs>
          <w:tab w:val="left" w:pos="720"/>
          <w:tab w:val="left" w:pos="1440"/>
          <w:tab w:val="left" w:pos="2160"/>
          <w:tab w:val="left" w:pos="2880"/>
          <w:tab w:val="left" w:pos="3600"/>
        </w:tabs>
        <w:ind w:left="3600" w:hanging="3600"/>
        <w:rPr>
          <w:rFonts w:asciiTheme="majorHAnsi" w:hAnsiTheme="majorHAnsi"/>
          <w:sz w:val="22"/>
          <w:szCs w:val="22"/>
        </w:rPr>
      </w:pPr>
      <w:r>
        <w:rPr>
          <w:rFonts w:asciiTheme="majorHAnsi" w:hAnsiTheme="majorHAnsi"/>
          <w:smallCaps/>
          <w:sz w:val="22"/>
          <w:szCs w:val="22"/>
        </w:rPr>
        <w:tab/>
      </w:r>
      <w:r w:rsidRPr="00646849">
        <w:rPr>
          <w:rFonts w:asciiTheme="majorHAnsi" w:hAnsiTheme="majorHAnsi"/>
          <w:smallCaps/>
          <w:sz w:val="22"/>
          <w:szCs w:val="22"/>
        </w:rPr>
        <w:t>Bank &amp; Stark, Corporate and Partnership Income Tax</w:t>
      </w:r>
      <w:r>
        <w:rPr>
          <w:rFonts w:asciiTheme="majorHAnsi" w:hAnsiTheme="majorHAnsi"/>
          <w:smallCaps/>
          <w:sz w:val="22"/>
          <w:szCs w:val="22"/>
        </w:rPr>
        <w:t xml:space="preserve"> Code and Regulations </w:t>
      </w:r>
      <w:r w:rsidR="00A11ABD">
        <w:rPr>
          <w:rFonts w:asciiTheme="majorHAnsi" w:hAnsiTheme="majorHAnsi"/>
          <w:smallCaps/>
          <w:sz w:val="22"/>
          <w:szCs w:val="22"/>
        </w:rPr>
        <w:t>201</w:t>
      </w:r>
      <w:r w:rsidR="00D5713B">
        <w:rPr>
          <w:rFonts w:asciiTheme="majorHAnsi" w:hAnsiTheme="majorHAnsi"/>
          <w:smallCaps/>
          <w:sz w:val="22"/>
          <w:szCs w:val="22"/>
        </w:rPr>
        <w:t>9-20</w:t>
      </w:r>
      <w:r>
        <w:rPr>
          <w:rFonts w:asciiTheme="majorHAnsi" w:hAnsiTheme="majorHAnsi"/>
          <w:smallCaps/>
          <w:sz w:val="22"/>
          <w:szCs w:val="22"/>
        </w:rPr>
        <w:t xml:space="preserve"> </w:t>
      </w:r>
      <w:r w:rsidRPr="00646849">
        <w:rPr>
          <w:rFonts w:asciiTheme="majorHAnsi" w:hAnsiTheme="majorHAnsi"/>
          <w:smallCaps/>
          <w:sz w:val="22"/>
          <w:szCs w:val="22"/>
        </w:rPr>
        <w:t>(</w:t>
      </w:r>
      <w:r w:rsidRPr="00646849">
        <w:rPr>
          <w:rFonts w:asciiTheme="majorHAnsi" w:hAnsiTheme="majorHAnsi"/>
          <w:sz w:val="22"/>
          <w:szCs w:val="22"/>
        </w:rPr>
        <w:t>Foundation Press</w:t>
      </w:r>
      <w:r w:rsidRPr="00646849">
        <w:rPr>
          <w:rFonts w:asciiTheme="majorHAnsi" w:hAnsiTheme="majorHAnsi"/>
          <w:smallCaps/>
          <w:sz w:val="22"/>
          <w:szCs w:val="22"/>
        </w:rPr>
        <w:t>).</w:t>
      </w:r>
    </w:p>
    <w:p w:rsidR="00646849" w:rsidRPr="00646849" w:rsidRDefault="00646849" w:rsidP="00646849">
      <w:pPr>
        <w:rPr>
          <w:rFonts w:asciiTheme="majorHAnsi" w:hAnsiTheme="majorHAnsi"/>
          <w:sz w:val="22"/>
          <w:szCs w:val="22"/>
        </w:rPr>
      </w:pPr>
    </w:p>
    <w:p w:rsidR="00646849" w:rsidRPr="00646849" w:rsidRDefault="00646849" w:rsidP="00646849">
      <w:pPr>
        <w:rPr>
          <w:rFonts w:asciiTheme="majorHAnsi" w:hAnsiTheme="majorHAnsi"/>
          <w:b/>
          <w:bCs/>
          <w:sz w:val="22"/>
          <w:szCs w:val="22"/>
        </w:rPr>
      </w:pPr>
    </w:p>
    <w:p w:rsidR="00646849" w:rsidRPr="00303479" w:rsidRDefault="00646849" w:rsidP="00303479">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s>
        <w:rPr>
          <w:rFonts w:asciiTheme="majorHAnsi" w:hAnsiTheme="majorHAnsi"/>
          <w:sz w:val="22"/>
          <w:szCs w:val="22"/>
        </w:rPr>
      </w:pPr>
      <w:r w:rsidRPr="00303479">
        <w:rPr>
          <w:rFonts w:asciiTheme="majorHAnsi" w:hAnsiTheme="majorHAnsi"/>
          <w:b/>
          <w:bCs/>
          <w:sz w:val="22"/>
          <w:szCs w:val="22"/>
        </w:rPr>
        <w:t>Suggested Course Prerequisites:</w:t>
      </w:r>
      <w:r w:rsidRPr="00303479">
        <w:rPr>
          <w:rFonts w:asciiTheme="majorHAnsi" w:hAnsiTheme="majorHAnsi"/>
          <w:b/>
          <w:bCs/>
          <w:sz w:val="22"/>
          <w:szCs w:val="22"/>
        </w:rPr>
        <w:tab/>
      </w:r>
      <w:r w:rsidRPr="00303479">
        <w:rPr>
          <w:rFonts w:asciiTheme="majorHAnsi" w:hAnsiTheme="majorHAnsi"/>
          <w:sz w:val="22"/>
          <w:szCs w:val="22"/>
        </w:rPr>
        <w:t xml:space="preserve">Tax I; Business Organizations.  </w:t>
      </w:r>
    </w:p>
    <w:p w:rsidR="00646849" w:rsidRDefault="00646849" w:rsidP="00646849">
      <w:pPr>
        <w:rPr>
          <w:rFonts w:asciiTheme="majorHAnsi" w:hAnsiTheme="majorHAnsi"/>
          <w:b/>
          <w:bCs/>
          <w:sz w:val="22"/>
          <w:szCs w:val="22"/>
        </w:rPr>
      </w:pPr>
    </w:p>
    <w:p w:rsidR="00B06EEC" w:rsidRDefault="00646849" w:rsidP="00646849">
      <w:pPr>
        <w:rPr>
          <w:rFonts w:asciiTheme="majorHAnsi" w:hAnsiTheme="majorHAnsi"/>
          <w:bCs/>
          <w:sz w:val="22"/>
          <w:szCs w:val="22"/>
        </w:rPr>
      </w:pPr>
      <w:r>
        <w:rPr>
          <w:rFonts w:asciiTheme="majorHAnsi" w:hAnsiTheme="majorHAnsi"/>
          <w:b/>
          <w:bCs/>
          <w:sz w:val="22"/>
          <w:szCs w:val="22"/>
        </w:rPr>
        <w:tab/>
      </w:r>
      <w:r>
        <w:rPr>
          <w:rFonts w:asciiTheme="majorHAnsi" w:hAnsiTheme="majorHAnsi"/>
          <w:bCs/>
          <w:sz w:val="22"/>
          <w:szCs w:val="22"/>
        </w:rPr>
        <w:t xml:space="preserve">Most students find Corporate Taxation challenging if they are not familiar with the basics of income taxation (basis, realized gain/loss, recognized gain/loss) or the </w:t>
      </w:r>
      <w:r w:rsidR="00B06EEC">
        <w:rPr>
          <w:rFonts w:asciiTheme="majorHAnsi" w:hAnsiTheme="majorHAnsi"/>
          <w:bCs/>
          <w:sz w:val="22"/>
          <w:szCs w:val="22"/>
        </w:rPr>
        <w:t>fundamental</w:t>
      </w:r>
      <w:r>
        <w:rPr>
          <w:rFonts w:asciiTheme="majorHAnsi" w:hAnsiTheme="majorHAnsi"/>
          <w:bCs/>
          <w:sz w:val="22"/>
          <w:szCs w:val="22"/>
        </w:rPr>
        <w:t xml:space="preserve"> characteristics and functions of the corporate entity as a business form.  Many students gain this knowledge in undergraduate coursework.  If you </w:t>
      </w:r>
      <w:r w:rsidR="00B06EEC">
        <w:rPr>
          <w:rFonts w:asciiTheme="majorHAnsi" w:hAnsiTheme="majorHAnsi"/>
          <w:bCs/>
          <w:sz w:val="22"/>
          <w:szCs w:val="22"/>
        </w:rPr>
        <w:t>are unsure if you have the general background knowledge to succeed in this course, please come see me.</w:t>
      </w:r>
    </w:p>
    <w:p w:rsidR="00B06EEC" w:rsidRDefault="00B06EEC" w:rsidP="00646849">
      <w:pPr>
        <w:rPr>
          <w:rFonts w:asciiTheme="majorHAnsi" w:hAnsiTheme="majorHAnsi"/>
          <w:bCs/>
          <w:sz w:val="22"/>
          <w:szCs w:val="22"/>
        </w:rPr>
      </w:pPr>
    </w:p>
    <w:p w:rsidR="00303479" w:rsidRDefault="00303479" w:rsidP="00646849">
      <w:pPr>
        <w:rPr>
          <w:rFonts w:asciiTheme="majorHAnsi" w:hAnsiTheme="majorHAnsi"/>
          <w:bCs/>
          <w:sz w:val="22"/>
          <w:szCs w:val="22"/>
        </w:rPr>
      </w:pPr>
    </w:p>
    <w:p w:rsidR="00303479" w:rsidRPr="00880B6F" w:rsidRDefault="00303479" w:rsidP="00880B6F">
      <w:pPr>
        <w:pStyle w:val="ListParagraph"/>
        <w:numPr>
          <w:ilvl w:val="0"/>
          <w:numId w:val="5"/>
        </w:numPr>
        <w:rPr>
          <w:rFonts w:asciiTheme="majorHAnsi" w:hAnsiTheme="majorHAnsi"/>
          <w:b/>
          <w:bCs/>
          <w:sz w:val="22"/>
          <w:szCs w:val="22"/>
        </w:rPr>
      </w:pPr>
      <w:r w:rsidRPr="00880B6F">
        <w:rPr>
          <w:rFonts w:asciiTheme="majorHAnsi" w:hAnsiTheme="majorHAnsi"/>
          <w:b/>
          <w:bCs/>
          <w:sz w:val="22"/>
          <w:szCs w:val="22"/>
        </w:rPr>
        <w:t>Course Outcomes</w:t>
      </w:r>
    </w:p>
    <w:p w:rsidR="00880B6F" w:rsidRDefault="00880B6F" w:rsidP="00646849">
      <w:pPr>
        <w:rPr>
          <w:rFonts w:asciiTheme="majorHAnsi" w:hAnsiTheme="majorHAnsi"/>
          <w:bCs/>
          <w:sz w:val="22"/>
          <w:szCs w:val="22"/>
        </w:rPr>
      </w:pPr>
    </w:p>
    <w:p w:rsidR="00880B6F" w:rsidRPr="00880B6F" w:rsidRDefault="00880B6F" w:rsidP="00880B6F">
      <w:pPr>
        <w:rPr>
          <w:rFonts w:asciiTheme="majorHAnsi" w:hAnsiTheme="majorHAnsi"/>
          <w:bCs/>
        </w:rPr>
      </w:pPr>
      <w:r w:rsidRPr="00880B6F">
        <w:rPr>
          <w:rFonts w:asciiTheme="majorHAnsi" w:hAnsiTheme="majorHAnsi"/>
          <w:b/>
          <w:bCs/>
        </w:rPr>
        <w:t xml:space="preserve">Reasons for Taxation: </w:t>
      </w:r>
      <w:r w:rsidRPr="00880B6F">
        <w:rPr>
          <w:rFonts w:asciiTheme="majorHAnsi" w:hAnsiTheme="majorHAnsi"/>
          <w:bCs/>
        </w:rPr>
        <w:t>Understand the reasons for and problems arising from taxation of the income of entities, as well as the different approaches to taxing entity income, and be able to discuss the weaknesses and strengths of the different approaches.</w:t>
      </w:r>
    </w:p>
    <w:p w:rsidR="00880B6F" w:rsidRPr="00880B6F" w:rsidRDefault="00880B6F" w:rsidP="00880B6F">
      <w:pPr>
        <w:rPr>
          <w:rFonts w:asciiTheme="majorHAnsi" w:hAnsiTheme="majorHAnsi"/>
          <w:bCs/>
        </w:rPr>
      </w:pPr>
    </w:p>
    <w:p w:rsidR="00880B6F" w:rsidRPr="00880B6F" w:rsidRDefault="00880B6F" w:rsidP="00880B6F">
      <w:pPr>
        <w:rPr>
          <w:rFonts w:asciiTheme="majorHAnsi" w:hAnsiTheme="majorHAnsi"/>
          <w:bCs/>
        </w:rPr>
      </w:pPr>
      <w:r w:rsidRPr="00880B6F">
        <w:rPr>
          <w:rFonts w:asciiTheme="majorHAnsi" w:hAnsiTheme="majorHAnsi"/>
          <w:b/>
          <w:bCs/>
        </w:rPr>
        <w:t xml:space="preserve">Policy Arguments:  </w:t>
      </w:r>
      <w:r w:rsidRPr="00880B6F">
        <w:rPr>
          <w:rFonts w:asciiTheme="majorHAnsi" w:hAnsiTheme="majorHAnsi"/>
          <w:bCs/>
        </w:rPr>
        <w:t>Understand policy arguments for and against IRS authority to recharacterize the movement of property between business entities and their owners.</w:t>
      </w:r>
    </w:p>
    <w:p w:rsidR="00880B6F" w:rsidRPr="00880B6F" w:rsidRDefault="00880B6F" w:rsidP="00880B6F">
      <w:pPr>
        <w:rPr>
          <w:rFonts w:asciiTheme="majorHAnsi" w:hAnsiTheme="majorHAnsi"/>
          <w:bCs/>
        </w:rPr>
      </w:pPr>
    </w:p>
    <w:p w:rsidR="00880B6F" w:rsidRPr="00880B6F" w:rsidRDefault="00880B6F" w:rsidP="00880B6F">
      <w:pPr>
        <w:rPr>
          <w:rFonts w:asciiTheme="majorHAnsi" w:hAnsiTheme="majorHAnsi"/>
          <w:bCs/>
        </w:rPr>
      </w:pPr>
      <w:r w:rsidRPr="00880B6F">
        <w:rPr>
          <w:rFonts w:asciiTheme="majorHAnsi" w:hAnsiTheme="majorHAnsi"/>
          <w:b/>
          <w:bCs/>
        </w:rPr>
        <w:t>Co</w:t>
      </w:r>
      <w:r w:rsidR="004E3426">
        <w:rPr>
          <w:rFonts w:asciiTheme="majorHAnsi" w:hAnsiTheme="majorHAnsi"/>
          <w:b/>
          <w:bCs/>
        </w:rPr>
        <w:t>r</w:t>
      </w:r>
      <w:r w:rsidRPr="00880B6F">
        <w:rPr>
          <w:rFonts w:asciiTheme="majorHAnsi" w:hAnsiTheme="majorHAnsi"/>
          <w:b/>
          <w:bCs/>
        </w:rPr>
        <w:t xml:space="preserve">porate Taxation:  </w:t>
      </w:r>
      <w:r w:rsidRPr="00880B6F">
        <w:rPr>
          <w:rFonts w:asciiTheme="majorHAnsi" w:hAnsiTheme="majorHAnsi"/>
          <w:bCs/>
        </w:rPr>
        <w:t>Understand the basics of corporate taxation in Subchapter C, including how entity operations, contributions, and distributions affect the taxation of the business and its owners.</w:t>
      </w:r>
    </w:p>
    <w:p w:rsidR="00880B6F" w:rsidRPr="00880B6F" w:rsidRDefault="00880B6F" w:rsidP="00880B6F">
      <w:pPr>
        <w:rPr>
          <w:rFonts w:asciiTheme="majorHAnsi" w:hAnsiTheme="majorHAnsi"/>
          <w:bCs/>
        </w:rPr>
      </w:pPr>
    </w:p>
    <w:p w:rsidR="00880B6F" w:rsidRPr="00880B6F" w:rsidRDefault="00880B6F" w:rsidP="00880B6F">
      <w:pPr>
        <w:rPr>
          <w:rFonts w:asciiTheme="majorHAnsi" w:hAnsiTheme="majorHAnsi"/>
          <w:bCs/>
        </w:rPr>
      </w:pPr>
      <w:r w:rsidRPr="00880B6F">
        <w:rPr>
          <w:rFonts w:asciiTheme="majorHAnsi" w:hAnsiTheme="majorHAnsi"/>
          <w:b/>
          <w:bCs/>
        </w:rPr>
        <w:t xml:space="preserve">Tax Code Interpretation:  </w:t>
      </w:r>
      <w:r w:rsidRPr="00880B6F">
        <w:rPr>
          <w:rFonts w:asciiTheme="majorHAnsi" w:hAnsiTheme="majorHAnsi"/>
          <w:bCs/>
        </w:rPr>
        <w:t>Have a better understanding of how to read and interpret the Tax Code and administrative guidance interpreting the Code.</w:t>
      </w:r>
    </w:p>
    <w:p w:rsidR="00880B6F" w:rsidRPr="00880B6F" w:rsidRDefault="00880B6F" w:rsidP="00880B6F">
      <w:pPr>
        <w:rPr>
          <w:rFonts w:asciiTheme="majorHAnsi" w:hAnsiTheme="majorHAnsi"/>
          <w:bCs/>
        </w:rPr>
      </w:pPr>
    </w:p>
    <w:p w:rsidR="00880B6F" w:rsidRPr="00880B6F" w:rsidRDefault="00880B6F" w:rsidP="00880B6F">
      <w:pPr>
        <w:rPr>
          <w:rFonts w:asciiTheme="majorHAnsi" w:hAnsiTheme="majorHAnsi"/>
          <w:bCs/>
        </w:rPr>
      </w:pPr>
      <w:r w:rsidRPr="00880B6F">
        <w:rPr>
          <w:rFonts w:asciiTheme="majorHAnsi" w:hAnsiTheme="majorHAnsi"/>
          <w:b/>
          <w:bCs/>
        </w:rPr>
        <w:t xml:space="preserve">Critical Thinking Skills:  </w:t>
      </w:r>
      <w:r w:rsidRPr="00880B6F">
        <w:rPr>
          <w:rFonts w:asciiTheme="majorHAnsi" w:hAnsiTheme="majorHAnsi"/>
          <w:bCs/>
        </w:rPr>
        <w:t>Have improved their critical thinking skills.</w:t>
      </w:r>
    </w:p>
    <w:p w:rsidR="00880B6F" w:rsidRPr="00880B6F" w:rsidRDefault="00880B6F" w:rsidP="00880B6F">
      <w:pPr>
        <w:rPr>
          <w:rFonts w:asciiTheme="majorHAnsi" w:hAnsiTheme="majorHAnsi"/>
          <w:bCs/>
        </w:rPr>
      </w:pPr>
    </w:p>
    <w:p w:rsidR="00880B6F" w:rsidRPr="00880B6F" w:rsidRDefault="00880B6F" w:rsidP="00880B6F">
      <w:pPr>
        <w:rPr>
          <w:rFonts w:asciiTheme="majorHAnsi" w:hAnsiTheme="majorHAnsi"/>
          <w:bCs/>
        </w:rPr>
      </w:pPr>
      <w:r w:rsidRPr="00880B6F">
        <w:rPr>
          <w:rFonts w:asciiTheme="majorHAnsi" w:hAnsiTheme="majorHAnsi"/>
          <w:b/>
          <w:bCs/>
        </w:rPr>
        <w:t xml:space="preserve">Broader Understanding:  </w:t>
      </w:r>
      <w:r w:rsidRPr="00880B6F">
        <w:rPr>
          <w:rFonts w:asciiTheme="majorHAnsi" w:hAnsiTheme="majorHAnsi"/>
          <w:bCs/>
        </w:rPr>
        <w:t>Enjoy a broader understanding of the overall income tax regime in the United States.</w:t>
      </w:r>
    </w:p>
    <w:p w:rsidR="00880B6F" w:rsidRDefault="00880B6F" w:rsidP="00646849">
      <w:pPr>
        <w:rPr>
          <w:rFonts w:asciiTheme="majorHAnsi" w:hAnsiTheme="majorHAnsi"/>
          <w:bCs/>
          <w:sz w:val="22"/>
          <w:szCs w:val="22"/>
        </w:rPr>
      </w:pPr>
    </w:p>
    <w:p w:rsidR="00646849" w:rsidRPr="00880B6F" w:rsidRDefault="00B06EEC" w:rsidP="00880B6F">
      <w:pPr>
        <w:pStyle w:val="ListParagraph"/>
        <w:numPr>
          <w:ilvl w:val="0"/>
          <w:numId w:val="5"/>
        </w:numPr>
        <w:rPr>
          <w:rFonts w:asciiTheme="majorHAnsi" w:hAnsiTheme="majorHAnsi"/>
          <w:b/>
          <w:bCs/>
          <w:sz w:val="22"/>
          <w:szCs w:val="22"/>
        </w:rPr>
      </w:pPr>
      <w:r w:rsidRPr="00880B6F">
        <w:rPr>
          <w:rFonts w:asciiTheme="majorHAnsi" w:hAnsiTheme="majorHAnsi"/>
          <w:bCs/>
          <w:sz w:val="22"/>
          <w:szCs w:val="22"/>
        </w:rPr>
        <w:lastRenderedPageBreak/>
        <w:t>G</w:t>
      </w:r>
      <w:r w:rsidR="00646849" w:rsidRPr="00880B6F">
        <w:rPr>
          <w:rFonts w:asciiTheme="majorHAnsi" w:hAnsiTheme="majorHAnsi"/>
          <w:b/>
          <w:bCs/>
          <w:sz w:val="22"/>
          <w:szCs w:val="22"/>
        </w:rPr>
        <w:t>rading:</w:t>
      </w:r>
    </w:p>
    <w:p w:rsidR="00646849" w:rsidRPr="00646849" w:rsidRDefault="00646849" w:rsidP="00646849">
      <w:pPr>
        <w:rPr>
          <w:rFonts w:asciiTheme="majorHAnsi" w:hAnsiTheme="majorHAnsi"/>
          <w:sz w:val="22"/>
          <w:szCs w:val="22"/>
        </w:rPr>
      </w:pPr>
    </w:p>
    <w:p w:rsidR="00646849" w:rsidRDefault="00B06EEC" w:rsidP="00646849">
      <w:pPr>
        <w:rPr>
          <w:rFonts w:asciiTheme="majorHAnsi" w:hAnsiTheme="majorHAnsi"/>
          <w:sz w:val="22"/>
          <w:szCs w:val="22"/>
        </w:rPr>
      </w:pPr>
      <w:r>
        <w:rPr>
          <w:rFonts w:asciiTheme="majorHAnsi" w:hAnsiTheme="majorHAnsi"/>
          <w:sz w:val="22"/>
          <w:szCs w:val="22"/>
        </w:rPr>
        <w:t xml:space="preserve">Your grade in this course will be determined by (i) “daily” quizzes and (ii) a final examination.  The quizzes will be worth one point </w:t>
      </w:r>
      <w:r w:rsidR="00CA6575">
        <w:rPr>
          <w:rFonts w:asciiTheme="majorHAnsi" w:hAnsiTheme="majorHAnsi"/>
          <w:sz w:val="22"/>
          <w:szCs w:val="22"/>
        </w:rPr>
        <w:t xml:space="preserve">each, up to ten points.  We will have at least fourteen </w:t>
      </w:r>
      <w:r>
        <w:rPr>
          <w:rFonts w:asciiTheme="majorHAnsi" w:hAnsiTheme="majorHAnsi"/>
          <w:sz w:val="22"/>
          <w:szCs w:val="22"/>
        </w:rPr>
        <w:t xml:space="preserve">quizzes, </w:t>
      </w:r>
      <w:r w:rsidR="00CA6575">
        <w:rPr>
          <w:rFonts w:asciiTheme="majorHAnsi" w:hAnsiTheme="majorHAnsi"/>
          <w:sz w:val="22"/>
          <w:szCs w:val="22"/>
        </w:rPr>
        <w:t xml:space="preserve">so each student may miss up to four </w:t>
      </w:r>
      <w:r>
        <w:rPr>
          <w:rFonts w:asciiTheme="majorHAnsi" w:hAnsiTheme="majorHAnsi"/>
          <w:sz w:val="22"/>
          <w:szCs w:val="22"/>
        </w:rPr>
        <w:t>quizzes (or get zero points on each) and still receive the maximum ten points.</w:t>
      </w:r>
      <w:r w:rsidR="00CA6575">
        <w:rPr>
          <w:rFonts w:asciiTheme="majorHAnsi" w:hAnsiTheme="majorHAnsi"/>
          <w:sz w:val="22"/>
          <w:szCs w:val="22"/>
        </w:rPr>
        <w:t xml:space="preserve">  Quizzes may not be made up for</w:t>
      </w:r>
      <w:r>
        <w:rPr>
          <w:rFonts w:asciiTheme="majorHAnsi" w:hAnsiTheme="majorHAnsi"/>
          <w:sz w:val="22"/>
          <w:szCs w:val="22"/>
        </w:rPr>
        <w:t xml:space="preserve"> “excused” or “unexcused” absences.  Partial credit is not given </w:t>
      </w:r>
      <w:r w:rsidR="00CA6575">
        <w:rPr>
          <w:rFonts w:asciiTheme="majorHAnsi" w:hAnsiTheme="majorHAnsi"/>
          <w:sz w:val="22"/>
          <w:szCs w:val="22"/>
        </w:rPr>
        <w:t>on</w:t>
      </w:r>
      <w:r>
        <w:rPr>
          <w:rFonts w:asciiTheme="majorHAnsi" w:hAnsiTheme="majorHAnsi"/>
          <w:sz w:val="22"/>
          <w:szCs w:val="22"/>
        </w:rPr>
        <w:t xml:space="preserve"> daily quizzes.</w:t>
      </w:r>
    </w:p>
    <w:p w:rsidR="00B06EEC" w:rsidRDefault="00B06EEC" w:rsidP="00646849">
      <w:pPr>
        <w:rPr>
          <w:rFonts w:asciiTheme="majorHAnsi" w:hAnsiTheme="majorHAnsi"/>
          <w:sz w:val="22"/>
          <w:szCs w:val="22"/>
        </w:rPr>
      </w:pPr>
    </w:p>
    <w:p w:rsidR="00B06EEC" w:rsidRPr="00646849" w:rsidRDefault="00B06EEC" w:rsidP="00646849">
      <w:pPr>
        <w:rPr>
          <w:rFonts w:asciiTheme="majorHAnsi" w:hAnsiTheme="majorHAnsi"/>
          <w:sz w:val="22"/>
          <w:szCs w:val="22"/>
        </w:rPr>
      </w:pPr>
      <w:r>
        <w:rPr>
          <w:rFonts w:asciiTheme="majorHAnsi" w:hAnsiTheme="majorHAnsi"/>
          <w:sz w:val="22"/>
          <w:szCs w:val="22"/>
        </w:rPr>
        <w:t>The final exam will be in a short-answer format and will be worth ninety points and will be discussed later in the semester.</w:t>
      </w:r>
    </w:p>
    <w:p w:rsidR="00646849" w:rsidRPr="00646849" w:rsidRDefault="00646849" w:rsidP="00646849">
      <w:pPr>
        <w:rPr>
          <w:rFonts w:asciiTheme="majorHAnsi" w:hAnsiTheme="majorHAnsi"/>
          <w:sz w:val="22"/>
          <w:szCs w:val="22"/>
        </w:rPr>
      </w:pPr>
    </w:p>
    <w:p w:rsidR="00646849" w:rsidRPr="00646849" w:rsidRDefault="00646849" w:rsidP="00646849">
      <w:pPr>
        <w:rPr>
          <w:rFonts w:asciiTheme="majorHAnsi" w:hAnsiTheme="majorHAnsi"/>
          <w:sz w:val="22"/>
          <w:szCs w:val="22"/>
        </w:rPr>
      </w:pPr>
      <w:r w:rsidRPr="00646849">
        <w:rPr>
          <w:rFonts w:asciiTheme="majorHAnsi" w:hAnsiTheme="majorHAnsi"/>
          <w:b/>
          <w:bCs/>
          <w:sz w:val="22"/>
          <w:szCs w:val="22"/>
        </w:rPr>
        <w:t>Student Participation:</w:t>
      </w:r>
    </w:p>
    <w:p w:rsidR="00646849" w:rsidRPr="00646849" w:rsidRDefault="00646849" w:rsidP="00646849">
      <w:pPr>
        <w:rPr>
          <w:rFonts w:asciiTheme="majorHAnsi" w:hAnsiTheme="majorHAnsi"/>
          <w:sz w:val="22"/>
          <w:szCs w:val="22"/>
        </w:rPr>
      </w:pPr>
    </w:p>
    <w:p w:rsidR="00646849" w:rsidRPr="00646849" w:rsidRDefault="00646849" w:rsidP="00646849">
      <w:pPr>
        <w:rPr>
          <w:rFonts w:asciiTheme="majorHAnsi" w:hAnsiTheme="majorHAnsi"/>
          <w:sz w:val="22"/>
          <w:szCs w:val="22"/>
        </w:rPr>
      </w:pPr>
      <w:r w:rsidRPr="00646849">
        <w:rPr>
          <w:rFonts w:asciiTheme="majorHAnsi" w:hAnsiTheme="majorHAnsi"/>
          <w:sz w:val="22"/>
          <w:szCs w:val="22"/>
        </w:rPr>
        <w:t xml:space="preserve">Students are required to prepare for class and participate in class discussion of the assigned materials and problems.  The problems and cases, along with the relevant code sections and regulations, will be an important focus of each class session.  Additionally, each day we will have </w:t>
      </w:r>
      <w:r w:rsidR="00CA6575">
        <w:rPr>
          <w:rFonts w:asciiTheme="majorHAnsi" w:hAnsiTheme="majorHAnsi"/>
          <w:sz w:val="22"/>
          <w:szCs w:val="22"/>
        </w:rPr>
        <w:t xml:space="preserve">one or </w:t>
      </w:r>
      <w:r w:rsidRPr="00646849">
        <w:rPr>
          <w:rFonts w:asciiTheme="majorHAnsi" w:hAnsiTheme="majorHAnsi"/>
          <w:sz w:val="22"/>
          <w:szCs w:val="22"/>
        </w:rPr>
        <w:t>two class “experts.”  Experts are required to (1) discuss in class a current event that touches on the topic of taxation of business entities and (2) be “on call” to assist the professor during the lecture by answering questions about the assigned material.  Any student demonstrating consistent and excellent class participation may have their grade increased.  Alternatively, students who are consistently unprepared or absent may have their grade reduced.  There is no need to alert the professor to explain individual absences unless you are the daily expert.</w:t>
      </w:r>
    </w:p>
    <w:p w:rsidR="00646849" w:rsidRPr="00646849" w:rsidRDefault="00646849" w:rsidP="00646849">
      <w:pPr>
        <w:rPr>
          <w:rFonts w:asciiTheme="majorHAnsi" w:hAnsiTheme="majorHAnsi"/>
          <w:sz w:val="22"/>
          <w:szCs w:val="22"/>
        </w:rPr>
      </w:pPr>
    </w:p>
    <w:p w:rsidR="00880B6F" w:rsidRPr="00880B6F" w:rsidRDefault="00880B6F" w:rsidP="00880B6F">
      <w:pPr>
        <w:pStyle w:val="ListParagraph"/>
        <w:numPr>
          <w:ilvl w:val="0"/>
          <w:numId w:val="5"/>
        </w:numPr>
        <w:tabs>
          <w:tab w:val="left" w:pos="720"/>
        </w:tabs>
        <w:rPr>
          <w:rFonts w:asciiTheme="majorHAnsi" w:hAnsiTheme="majorHAnsi" w:cs="TimesNewRoman,Bold"/>
          <w:b/>
          <w:bCs/>
          <w:color w:val="000000"/>
        </w:rPr>
      </w:pPr>
      <w:r>
        <w:rPr>
          <w:rFonts w:asciiTheme="majorHAnsi" w:hAnsiTheme="majorHAnsi" w:cs="TimesNewRoman,Bold"/>
          <w:b/>
          <w:bCs/>
          <w:color w:val="000000"/>
        </w:rPr>
        <w:t>Disclosures</w:t>
      </w:r>
    </w:p>
    <w:p w:rsidR="00880B6F" w:rsidRDefault="00880B6F" w:rsidP="00303479">
      <w:pPr>
        <w:tabs>
          <w:tab w:val="left" w:pos="720"/>
        </w:tabs>
        <w:rPr>
          <w:rFonts w:asciiTheme="majorHAnsi" w:hAnsiTheme="majorHAnsi" w:cs="TimesNewRoman,Bold"/>
          <w:b/>
          <w:bCs/>
          <w:color w:val="000000"/>
        </w:rPr>
      </w:pPr>
    </w:p>
    <w:p w:rsidR="00303479" w:rsidRDefault="00303479" w:rsidP="00303479">
      <w:pPr>
        <w:tabs>
          <w:tab w:val="left" w:pos="720"/>
        </w:tabs>
        <w:rPr>
          <w:rFonts w:asciiTheme="majorHAnsi" w:hAnsiTheme="majorHAnsi" w:cs="TimesNewRoman,Bold"/>
          <w:b/>
          <w:bCs/>
          <w:color w:val="000000"/>
          <w:sz w:val="22"/>
          <w:szCs w:val="22"/>
        </w:rPr>
      </w:pPr>
      <w:r w:rsidRPr="00CA6575">
        <w:rPr>
          <w:rFonts w:asciiTheme="majorHAnsi" w:hAnsiTheme="majorHAnsi" w:cs="TimesNewRoman,Bold"/>
          <w:b/>
          <w:bCs/>
          <w:color w:val="000000"/>
          <w:sz w:val="22"/>
          <w:szCs w:val="22"/>
        </w:rPr>
        <w:t>Course Expectations</w:t>
      </w:r>
    </w:p>
    <w:p w:rsidR="00D5713B" w:rsidRPr="00CA6575" w:rsidRDefault="00D5713B" w:rsidP="00303479">
      <w:pPr>
        <w:tabs>
          <w:tab w:val="left" w:pos="720"/>
        </w:tabs>
        <w:rPr>
          <w:rFonts w:asciiTheme="majorHAnsi" w:hAnsiTheme="majorHAnsi" w:cs="TimesNewRoman,Bold"/>
          <w:bCs/>
          <w:color w:val="000000"/>
          <w:sz w:val="22"/>
          <w:szCs w:val="22"/>
        </w:rPr>
      </w:pPr>
    </w:p>
    <w:p w:rsidR="00303479" w:rsidRPr="00CA6575" w:rsidRDefault="00303479" w:rsidP="00303479">
      <w:pPr>
        <w:tabs>
          <w:tab w:val="left" w:pos="720"/>
        </w:tabs>
        <w:rPr>
          <w:rFonts w:asciiTheme="majorHAnsi" w:hAnsiTheme="majorHAnsi" w:cs="TimesNewRoman,Bold"/>
          <w:bCs/>
          <w:color w:val="000000"/>
          <w:sz w:val="22"/>
          <w:szCs w:val="22"/>
        </w:rPr>
      </w:pPr>
      <w:r w:rsidRPr="00CA6575">
        <w:rPr>
          <w:rFonts w:asciiTheme="majorHAnsi" w:hAnsiTheme="majorHAnsi" w:cs="TimesNewRoman,Bold"/>
          <w:bCs/>
          <w:color w:val="000000"/>
          <w:sz w:val="22"/>
          <w:szCs w:val="22"/>
        </w:rPr>
        <w:t xml:space="preserve">This class begins on time and ends on time.  Students are expected to be prompt and regular in attendance.  </w:t>
      </w:r>
    </w:p>
    <w:p w:rsidR="00303479" w:rsidRPr="00CA6575" w:rsidRDefault="00303479" w:rsidP="00303479">
      <w:pPr>
        <w:tabs>
          <w:tab w:val="left" w:pos="720"/>
        </w:tabs>
        <w:rPr>
          <w:rFonts w:asciiTheme="majorHAnsi" w:hAnsiTheme="majorHAnsi" w:cs="TimesNewRoman,Bold"/>
          <w:bCs/>
          <w:color w:val="000000"/>
          <w:sz w:val="22"/>
          <w:szCs w:val="22"/>
        </w:rPr>
      </w:pPr>
      <w:r w:rsidRPr="00CA6575">
        <w:rPr>
          <w:rFonts w:asciiTheme="majorHAnsi" w:hAnsiTheme="majorHAnsi" w:cs="TimesNewRoman,Bold"/>
          <w:bCs/>
          <w:color w:val="000000"/>
          <w:sz w:val="22"/>
          <w:szCs w:val="22"/>
        </w:rPr>
        <w:t>Students are expected to prepare for class each day and participate.</w:t>
      </w:r>
    </w:p>
    <w:p w:rsidR="00303479" w:rsidRPr="00CA6575" w:rsidRDefault="00303479" w:rsidP="00303479">
      <w:pPr>
        <w:tabs>
          <w:tab w:val="left" w:pos="720"/>
        </w:tabs>
        <w:rPr>
          <w:rFonts w:asciiTheme="majorHAnsi" w:hAnsiTheme="majorHAnsi" w:cs="TimesNewRoman,Bold"/>
          <w:bCs/>
          <w:color w:val="000000"/>
          <w:sz w:val="22"/>
          <w:szCs w:val="22"/>
        </w:rPr>
      </w:pPr>
      <w:r w:rsidRPr="00CA6575">
        <w:rPr>
          <w:rFonts w:asciiTheme="majorHAnsi" w:hAnsiTheme="majorHAnsi" w:cs="TimesNewRoman,Bold"/>
          <w:bCs/>
          <w:color w:val="000000"/>
          <w:sz w:val="22"/>
          <w:szCs w:val="22"/>
        </w:rPr>
        <w:t>Students should not use class time to check email, check Facebook, play computer or internet games, shop electronically, work on materials for other classes or employment, view websites, or do anything else unrelated to class.</w:t>
      </w:r>
    </w:p>
    <w:p w:rsidR="00303479" w:rsidRPr="00CA6575" w:rsidRDefault="00303479" w:rsidP="00303479">
      <w:pPr>
        <w:tabs>
          <w:tab w:val="left" w:pos="720"/>
        </w:tabs>
        <w:rPr>
          <w:rFonts w:asciiTheme="majorHAnsi" w:hAnsiTheme="majorHAnsi" w:cs="TimesNewRoman,Bold"/>
          <w:bCs/>
          <w:color w:val="000000"/>
          <w:sz w:val="22"/>
          <w:szCs w:val="22"/>
        </w:rPr>
      </w:pPr>
    </w:p>
    <w:p w:rsidR="00CA6575" w:rsidRPr="00CA6575" w:rsidRDefault="00CA6575" w:rsidP="00CA6575">
      <w:pPr>
        <w:rPr>
          <w:rFonts w:asciiTheme="majorHAnsi" w:eastAsia="Times New Roman" w:hAnsiTheme="majorHAnsi"/>
          <w:b/>
          <w:sz w:val="22"/>
          <w:szCs w:val="22"/>
        </w:rPr>
      </w:pPr>
      <w:r w:rsidRPr="00CA6575">
        <w:rPr>
          <w:rFonts w:asciiTheme="majorHAnsi" w:eastAsia="Times New Roman" w:hAnsiTheme="majorHAnsi"/>
          <w:b/>
          <w:sz w:val="22"/>
          <w:szCs w:val="22"/>
        </w:rPr>
        <w:t>Honor Code</w:t>
      </w:r>
    </w:p>
    <w:p w:rsidR="00CA6575" w:rsidRPr="00CA6575" w:rsidRDefault="00CA6575" w:rsidP="00CA6575">
      <w:pPr>
        <w:shd w:val="clear" w:color="auto" w:fill="FFFFFF"/>
        <w:spacing w:before="240" w:after="240"/>
        <w:textAlignment w:val="baseline"/>
        <w:rPr>
          <w:rFonts w:asciiTheme="majorHAnsi" w:eastAsia="Times New Roman" w:hAnsiTheme="majorHAnsi"/>
          <w:color w:val="444444"/>
          <w:sz w:val="22"/>
          <w:szCs w:val="22"/>
        </w:rPr>
      </w:pPr>
      <w:r w:rsidRPr="00CA6575">
        <w:rPr>
          <w:rFonts w:asciiTheme="majorHAnsi" w:eastAsia="Times New Roman" w:hAnsiTheme="majorHAnsi"/>
          <w:color w:val="444444"/>
          <w:sz w:val="22"/>
          <w:szCs w:val="22"/>
        </w:rPr>
        <w:t>In keeping with the principles of the BYU Honor Code, students are expected to be honest in all of their academic work. Academic honesty means, most fundamentally, that any work you present as your own must in fact be your own work and not that of another. Violations of this principle may result in a failing grade in the course and additional disciplinary action by the university. Students are also expected to adhere to the Dress and Grooming Standards. Adherence demonstrates respect for yourself and others and ensures an effective learning and working environment. It is the university's expectation, and every instructor's expectation in class, that each student will abide by all Honor Code standards. Please call the Honor Code Office at 422-2847 if you have questions about those standards.</w:t>
      </w:r>
    </w:p>
    <w:p w:rsidR="00CA6575" w:rsidRPr="00CA6575" w:rsidRDefault="00CA6575" w:rsidP="00CA6575">
      <w:pPr>
        <w:rPr>
          <w:rFonts w:asciiTheme="majorHAnsi" w:eastAsia="Times New Roman" w:hAnsiTheme="majorHAnsi"/>
          <w:b/>
          <w:sz w:val="22"/>
          <w:szCs w:val="22"/>
        </w:rPr>
      </w:pPr>
      <w:r w:rsidRPr="00CA6575">
        <w:rPr>
          <w:rFonts w:asciiTheme="majorHAnsi" w:eastAsia="Times New Roman" w:hAnsiTheme="majorHAnsi"/>
          <w:b/>
          <w:sz w:val="22"/>
          <w:szCs w:val="22"/>
        </w:rPr>
        <w:t>Preventing &amp; Responding to Sexual Misconduct</w:t>
      </w:r>
    </w:p>
    <w:p w:rsidR="00CA6575" w:rsidRPr="00CA6575" w:rsidRDefault="00CA6575" w:rsidP="00CA6575">
      <w:pPr>
        <w:rPr>
          <w:rFonts w:asciiTheme="majorHAnsi" w:eastAsia="Times New Roman" w:hAnsiTheme="majorHAnsi"/>
          <w:b/>
          <w:sz w:val="22"/>
          <w:szCs w:val="22"/>
        </w:rPr>
      </w:pPr>
    </w:p>
    <w:p w:rsidR="00CA6575" w:rsidRPr="00CA6575" w:rsidRDefault="00CA6575" w:rsidP="00CA6575">
      <w:pPr>
        <w:shd w:val="clear" w:color="auto" w:fill="FFFFFF"/>
        <w:textAlignment w:val="baseline"/>
        <w:rPr>
          <w:rFonts w:asciiTheme="majorHAnsi" w:eastAsia="Times New Roman" w:hAnsiTheme="majorHAnsi"/>
          <w:color w:val="444444"/>
          <w:sz w:val="22"/>
          <w:szCs w:val="22"/>
        </w:rPr>
      </w:pPr>
      <w:r w:rsidRPr="00CA6575">
        <w:rPr>
          <w:rFonts w:asciiTheme="majorHAnsi" w:eastAsia="Times New Roman" w:hAnsiTheme="majorHAnsi"/>
          <w:color w:val="444444"/>
          <w:sz w:val="22"/>
          <w:szCs w:val="22"/>
        </w:rPr>
        <w:t xml:space="preserve">In accordance with Title IX of the Education Amendments of 1972, Brigham Young University prohibits unlawful sex discrimination against any participant in its education programs or </w:t>
      </w:r>
      <w:r w:rsidRPr="00CA6575">
        <w:rPr>
          <w:rFonts w:asciiTheme="majorHAnsi" w:eastAsia="Times New Roman" w:hAnsiTheme="majorHAnsi"/>
          <w:color w:val="444444"/>
          <w:sz w:val="22"/>
          <w:szCs w:val="22"/>
        </w:rPr>
        <w:lastRenderedPageBreak/>
        <w:t>activities. The university also prohibits sexual harassment-including sexual violence-committed by or against students, university employees, and visitors to campus. As outlined in university policy, sexual harassment, dating violence, domestic violence, sexual assault, and stalking are considered forms of "Sexual Misconduct" prohibited by the university.</w:t>
      </w:r>
      <w:r w:rsidRPr="00CA6575">
        <w:rPr>
          <w:rFonts w:asciiTheme="majorHAnsi" w:eastAsia="Times New Roman" w:hAnsiTheme="majorHAnsi"/>
          <w:color w:val="444444"/>
          <w:sz w:val="22"/>
          <w:szCs w:val="22"/>
        </w:rPr>
        <w:br/>
      </w:r>
      <w:r w:rsidRPr="00CA6575">
        <w:rPr>
          <w:rFonts w:asciiTheme="majorHAnsi" w:eastAsia="Times New Roman" w:hAnsiTheme="majorHAnsi"/>
          <w:color w:val="444444"/>
          <w:sz w:val="22"/>
          <w:szCs w:val="22"/>
        </w:rPr>
        <w:br/>
        <w:t>University policy requires all university employees in a teaching, managerial, or supervisory role to report all incidents of Sexual Misconduct that come to their attention in any way, including but not limited to face-to-face conversations, a written class assignment or paper, class discussion, email, text, or social media post. Incidents of Sexual Misconduct should be reported to the Title IX Coordinator at </w:t>
      </w:r>
      <w:hyperlink r:id="rId5" w:tgtFrame="_blank" w:history="1">
        <w:r w:rsidRPr="00CA6575">
          <w:rPr>
            <w:rFonts w:asciiTheme="majorHAnsi" w:eastAsia="Times New Roman" w:hAnsiTheme="majorHAnsi"/>
            <w:color w:val="336699"/>
            <w:sz w:val="22"/>
            <w:szCs w:val="22"/>
            <w:u w:val="single"/>
          </w:rPr>
          <w:t>t9coordinator@byu.edu</w:t>
        </w:r>
      </w:hyperlink>
      <w:r w:rsidRPr="00CA6575">
        <w:rPr>
          <w:rFonts w:asciiTheme="majorHAnsi" w:eastAsia="Times New Roman" w:hAnsiTheme="majorHAnsi"/>
          <w:color w:val="444444"/>
          <w:sz w:val="22"/>
          <w:szCs w:val="22"/>
        </w:rPr>
        <w:t> or (801) 422-8692. Reports may also be submitted through EthicsPoint at </w:t>
      </w:r>
      <w:hyperlink r:id="rId6" w:tgtFrame="_blank" w:history="1">
        <w:r w:rsidRPr="00CA6575">
          <w:rPr>
            <w:rFonts w:asciiTheme="majorHAnsi" w:eastAsia="Times New Roman" w:hAnsiTheme="majorHAnsi"/>
            <w:color w:val="336699"/>
            <w:sz w:val="22"/>
            <w:szCs w:val="22"/>
            <w:u w:val="single"/>
          </w:rPr>
          <w:t>https://titleix.byu.edu/report</w:t>
        </w:r>
      </w:hyperlink>
      <w:r w:rsidRPr="00CA6575">
        <w:rPr>
          <w:rFonts w:asciiTheme="majorHAnsi" w:eastAsia="Times New Roman" w:hAnsiTheme="majorHAnsi"/>
          <w:color w:val="444444"/>
          <w:sz w:val="22"/>
          <w:szCs w:val="22"/>
        </w:rPr>
        <w:t> or 1-888-238-1062 (24-hours a day).</w:t>
      </w:r>
      <w:r w:rsidRPr="00CA6575">
        <w:rPr>
          <w:rFonts w:asciiTheme="majorHAnsi" w:eastAsia="Times New Roman" w:hAnsiTheme="majorHAnsi"/>
          <w:color w:val="444444"/>
          <w:sz w:val="22"/>
          <w:szCs w:val="22"/>
        </w:rPr>
        <w:br/>
      </w:r>
      <w:r w:rsidRPr="00CA6575">
        <w:rPr>
          <w:rFonts w:asciiTheme="majorHAnsi" w:eastAsia="Times New Roman" w:hAnsiTheme="majorHAnsi"/>
          <w:color w:val="444444"/>
          <w:sz w:val="22"/>
          <w:szCs w:val="22"/>
        </w:rPr>
        <w:br/>
        <w:t>BYU offers confidential resources for those affected by Sexual Misconduct, including the university's Victim Advocate, as well as a number of non-confidential resources and services that may be helpful. Additional information about Title IX, the university's Sexual Misconduct Policy, reporting requirements, and resources can be found at </w:t>
      </w:r>
      <w:hyperlink r:id="rId7" w:tgtFrame="_blank" w:history="1">
        <w:r w:rsidRPr="00CA6575">
          <w:rPr>
            <w:rFonts w:asciiTheme="majorHAnsi" w:eastAsia="Times New Roman" w:hAnsiTheme="majorHAnsi"/>
            <w:color w:val="336699"/>
            <w:sz w:val="22"/>
            <w:szCs w:val="22"/>
            <w:u w:val="single"/>
          </w:rPr>
          <w:t>http://titleix.byu.edu</w:t>
        </w:r>
      </w:hyperlink>
      <w:r w:rsidRPr="00CA6575">
        <w:rPr>
          <w:rFonts w:asciiTheme="majorHAnsi" w:eastAsia="Times New Roman" w:hAnsiTheme="majorHAnsi"/>
          <w:color w:val="444444"/>
          <w:sz w:val="22"/>
          <w:szCs w:val="22"/>
        </w:rPr>
        <w:t> or by contacting the university's Title IX Coordinator.</w:t>
      </w:r>
    </w:p>
    <w:p w:rsidR="00CA6575" w:rsidRPr="00CA6575" w:rsidRDefault="00CA6575" w:rsidP="00CA6575">
      <w:pPr>
        <w:rPr>
          <w:rFonts w:asciiTheme="majorHAnsi" w:eastAsia="Times New Roman" w:hAnsiTheme="majorHAnsi"/>
          <w:sz w:val="22"/>
          <w:szCs w:val="22"/>
        </w:rPr>
      </w:pPr>
    </w:p>
    <w:p w:rsidR="00CA6575" w:rsidRPr="00CA6575" w:rsidRDefault="00CA6575" w:rsidP="00CA6575">
      <w:pPr>
        <w:rPr>
          <w:rFonts w:asciiTheme="majorHAnsi" w:eastAsia="Times New Roman" w:hAnsiTheme="majorHAnsi"/>
          <w:b/>
          <w:sz w:val="22"/>
          <w:szCs w:val="22"/>
        </w:rPr>
      </w:pPr>
      <w:r w:rsidRPr="00CA6575">
        <w:rPr>
          <w:rFonts w:asciiTheme="majorHAnsi" w:eastAsia="Times New Roman" w:hAnsiTheme="majorHAnsi"/>
          <w:b/>
          <w:sz w:val="22"/>
          <w:szCs w:val="22"/>
        </w:rPr>
        <w:t>Student Disability</w:t>
      </w:r>
    </w:p>
    <w:p w:rsidR="00CA6575" w:rsidRPr="00CA6575" w:rsidRDefault="00CA6575" w:rsidP="00CA6575">
      <w:pPr>
        <w:shd w:val="clear" w:color="auto" w:fill="FFFFFF"/>
        <w:spacing w:before="240" w:after="240"/>
        <w:textAlignment w:val="baseline"/>
        <w:rPr>
          <w:rFonts w:asciiTheme="majorHAnsi" w:eastAsia="Times New Roman" w:hAnsiTheme="majorHAnsi"/>
          <w:color w:val="444444"/>
          <w:sz w:val="22"/>
          <w:szCs w:val="22"/>
        </w:rPr>
      </w:pPr>
      <w:r w:rsidRPr="00CA6575">
        <w:rPr>
          <w:rFonts w:asciiTheme="majorHAnsi" w:eastAsia="Times New Roman" w:hAnsiTheme="majorHAnsi"/>
          <w:color w:val="444444"/>
          <w:sz w:val="22"/>
          <w:szCs w:val="22"/>
        </w:rPr>
        <w:t>Brigham Young University is committed to providing a working and learning atmosphere that reasonably accommodates qualified persons with disabilities. If you have any disability which may impair your ability to complete this course successfully, please contact the University Accessibility Center (UAC), 2170 WSC or 422-2767. Reasonable academic accommodations are reviewed for all students who have qualified, documented disabilities. The UAC can also assess students for learning, attention, and emotional concerns. Services are coordinated with the student and instructor by the UAC. If you need assistance or if you feel you have been unlawfully discriminated against on the basis of disability, you may seek resolution through established grievance policy and procedures by contacting the Equal Employment Office at 422-5895, D-285 ASB.</w:t>
      </w:r>
    </w:p>
    <w:p w:rsidR="00CA6575" w:rsidRPr="00CA6575" w:rsidRDefault="00CA6575" w:rsidP="00CA6575">
      <w:pPr>
        <w:rPr>
          <w:rFonts w:asciiTheme="majorHAnsi" w:eastAsia="Times New Roman" w:hAnsiTheme="majorHAnsi"/>
          <w:b/>
          <w:sz w:val="22"/>
          <w:szCs w:val="22"/>
        </w:rPr>
      </w:pPr>
      <w:r w:rsidRPr="00CA6575">
        <w:rPr>
          <w:rFonts w:asciiTheme="majorHAnsi" w:eastAsia="Times New Roman" w:hAnsiTheme="majorHAnsi"/>
          <w:b/>
          <w:sz w:val="22"/>
          <w:szCs w:val="22"/>
        </w:rPr>
        <w:t>Respectful Environment</w:t>
      </w:r>
    </w:p>
    <w:p w:rsidR="00CA6575" w:rsidRPr="00CA6575" w:rsidRDefault="00CA6575" w:rsidP="00CA6575">
      <w:pPr>
        <w:shd w:val="clear" w:color="auto" w:fill="FFFFFF"/>
        <w:spacing w:before="240" w:after="240"/>
        <w:textAlignment w:val="baseline"/>
        <w:rPr>
          <w:rFonts w:asciiTheme="majorHAnsi" w:eastAsia="Times New Roman" w:hAnsiTheme="majorHAnsi"/>
          <w:color w:val="444444"/>
          <w:sz w:val="22"/>
          <w:szCs w:val="22"/>
        </w:rPr>
      </w:pPr>
      <w:r w:rsidRPr="00CA6575">
        <w:rPr>
          <w:rFonts w:asciiTheme="majorHAnsi" w:eastAsia="Times New Roman" w:hAnsiTheme="majorHAnsi"/>
          <w:color w:val="444444"/>
          <w:sz w:val="22"/>
          <w:szCs w:val="22"/>
        </w:rPr>
        <w:t>"Sadly, from time to time, we do hear reports of those who are at best insensitive and at worst insulting in their comments to and about others... We hear derogatory and sometimes even defamatory comments about those with different political, athletic, or ethnic views or experiences. Such behavior is completely out of place at BYU, and I enlist the aid of all to monitor carefully and, if necessary, correct any such that might occur here, however inadvertent or unintentional. "I worry particularly about demeaning comments made about the career or major choices of women or men either directly or about members of the BYU community generally. We must remember that personal agency is a fundamental principle and that none of us has the right or option to criticize the lawful choices of another." President Cecil O. Samuelson, Annual University Conference, August 24, 2010 "Occasionally, we ... hear reports that our female faculty feel disrespected, especially by students, for choosing to work at BYU, even though each one has been approved by the BYU Board of Trustees. Brothers and sisters, these things ought not to be. Not here. Not at a university that shares a constitution with the School of the Prophets." Vice President John S. Tanner, Annual University Conference, August 24, 2010</w:t>
      </w:r>
    </w:p>
    <w:p w:rsidR="00CA6575" w:rsidRDefault="00CA6575">
      <w:pPr>
        <w:autoSpaceDE/>
        <w:autoSpaceDN/>
        <w:adjustRightInd/>
        <w:rPr>
          <w:rFonts w:asciiTheme="majorHAnsi" w:hAnsiTheme="majorHAnsi"/>
          <w:b/>
          <w:bCs/>
          <w:sz w:val="22"/>
          <w:szCs w:val="22"/>
        </w:rPr>
      </w:pPr>
      <w:r>
        <w:rPr>
          <w:rFonts w:asciiTheme="majorHAnsi" w:hAnsiTheme="majorHAnsi"/>
          <w:b/>
          <w:bCs/>
          <w:sz w:val="22"/>
          <w:szCs w:val="22"/>
        </w:rPr>
        <w:br w:type="page"/>
      </w:r>
    </w:p>
    <w:p w:rsidR="00646849" w:rsidRPr="00646849" w:rsidRDefault="00646849" w:rsidP="00646849">
      <w:pPr>
        <w:rPr>
          <w:rFonts w:asciiTheme="majorHAnsi" w:hAnsiTheme="majorHAnsi"/>
          <w:sz w:val="22"/>
          <w:szCs w:val="22"/>
        </w:rPr>
      </w:pPr>
      <w:r w:rsidRPr="00646849">
        <w:rPr>
          <w:rFonts w:asciiTheme="majorHAnsi" w:hAnsiTheme="majorHAnsi"/>
          <w:b/>
          <w:bCs/>
          <w:sz w:val="22"/>
          <w:szCs w:val="22"/>
        </w:rPr>
        <w:lastRenderedPageBreak/>
        <w:t>Syllabus I</w:t>
      </w:r>
      <w:r w:rsidRPr="00646849">
        <w:rPr>
          <w:rFonts w:asciiTheme="majorHAnsi" w:hAnsiTheme="majorHAnsi"/>
          <w:sz w:val="22"/>
          <w:szCs w:val="22"/>
        </w:rPr>
        <w:t>:</w:t>
      </w:r>
    </w:p>
    <w:p w:rsidR="00646849" w:rsidRPr="003634EA" w:rsidRDefault="00646849" w:rsidP="00646849">
      <w:pPr>
        <w:rPr>
          <w:rFonts w:asciiTheme="majorHAnsi" w:hAnsiTheme="majorHAnsi"/>
          <w:sz w:val="22"/>
          <w:szCs w:val="22"/>
        </w:rPr>
      </w:pPr>
    </w:p>
    <w:p w:rsidR="00646849" w:rsidRPr="003634EA" w:rsidRDefault="00646849" w:rsidP="00646849">
      <w:pPr>
        <w:rPr>
          <w:rFonts w:asciiTheme="majorHAnsi" w:hAnsiTheme="majorHAnsi"/>
          <w:sz w:val="22"/>
          <w:szCs w:val="22"/>
        </w:rPr>
      </w:pPr>
    </w:p>
    <w:p w:rsidR="00646849" w:rsidRPr="00DC7E62" w:rsidRDefault="00DC7E62" w:rsidP="00DC7E62">
      <w:pPr>
        <w:pStyle w:val="ListParagraph"/>
        <w:numPr>
          <w:ilvl w:val="0"/>
          <w:numId w:val="7"/>
        </w:numPr>
        <w:tabs>
          <w:tab w:val="left" w:pos="720"/>
          <w:tab w:val="left" w:pos="1440"/>
          <w:tab w:val="left" w:pos="2160"/>
          <w:tab w:val="left" w:pos="2880"/>
          <w:tab w:val="left" w:pos="3600"/>
          <w:tab w:val="left" w:pos="4320"/>
          <w:tab w:val="left" w:pos="5040"/>
        </w:tabs>
        <w:rPr>
          <w:rFonts w:asciiTheme="majorHAnsi" w:hAnsiTheme="majorHAnsi"/>
          <w:sz w:val="22"/>
          <w:szCs w:val="22"/>
        </w:rPr>
      </w:pPr>
      <w:r w:rsidRPr="00DC7E62">
        <w:rPr>
          <w:rFonts w:asciiTheme="majorHAnsi" w:hAnsiTheme="majorHAnsi"/>
          <w:sz w:val="22"/>
          <w:szCs w:val="22"/>
        </w:rPr>
        <w:t>E&amp;E, pp. 3-18</w:t>
      </w:r>
      <w:r w:rsidR="00646849" w:rsidRPr="00DC7E62">
        <w:rPr>
          <w:rFonts w:asciiTheme="majorHAnsi" w:hAnsiTheme="majorHAnsi"/>
          <w:sz w:val="22"/>
          <w:szCs w:val="22"/>
        </w:rPr>
        <w:t xml:space="preserve"> (Intro to Corporate Tax)</w:t>
      </w:r>
      <w:r w:rsidR="00646849" w:rsidRPr="00DC7E62">
        <w:rPr>
          <w:rFonts w:asciiTheme="majorHAnsi" w:hAnsiTheme="majorHAnsi"/>
          <w:sz w:val="22"/>
          <w:szCs w:val="22"/>
        </w:rPr>
        <w:tab/>
      </w:r>
    </w:p>
    <w:p w:rsidR="00DC7E62" w:rsidRDefault="002A4364" w:rsidP="002A4364">
      <w:pPr>
        <w:tabs>
          <w:tab w:val="left" w:pos="720"/>
          <w:tab w:val="left" w:pos="1440"/>
          <w:tab w:val="left" w:pos="2160"/>
          <w:tab w:val="left" w:pos="2880"/>
          <w:tab w:val="left" w:pos="3600"/>
          <w:tab w:val="left" w:pos="4320"/>
          <w:tab w:val="left" w:pos="5040"/>
        </w:tabs>
        <w:ind w:left="720"/>
        <w:rPr>
          <w:rFonts w:asciiTheme="majorHAnsi" w:hAnsiTheme="majorHAnsi"/>
          <w:sz w:val="22"/>
          <w:szCs w:val="22"/>
        </w:rPr>
      </w:pPr>
      <w:r>
        <w:rPr>
          <w:rFonts w:asciiTheme="majorHAnsi" w:hAnsiTheme="majorHAnsi"/>
          <w:sz w:val="22"/>
          <w:szCs w:val="22"/>
        </w:rPr>
        <w:t>E&amp;E, pp. 43-58 (Corporate Capital Structure)</w:t>
      </w:r>
    </w:p>
    <w:p w:rsidR="002A4364" w:rsidRDefault="002A4364" w:rsidP="002A4364">
      <w:pPr>
        <w:tabs>
          <w:tab w:val="left" w:pos="720"/>
          <w:tab w:val="left" w:pos="1440"/>
          <w:tab w:val="left" w:pos="2160"/>
          <w:tab w:val="left" w:pos="2880"/>
          <w:tab w:val="left" w:pos="3600"/>
          <w:tab w:val="left" w:pos="4320"/>
          <w:tab w:val="left" w:pos="5040"/>
        </w:tabs>
        <w:ind w:left="720"/>
        <w:rPr>
          <w:rFonts w:asciiTheme="majorHAnsi" w:hAnsiTheme="majorHAnsi"/>
          <w:sz w:val="22"/>
          <w:szCs w:val="22"/>
        </w:rPr>
      </w:pPr>
    </w:p>
    <w:p w:rsidR="00DC7E62" w:rsidRDefault="00DC7E62" w:rsidP="00DC7E62">
      <w:pPr>
        <w:tabs>
          <w:tab w:val="left" w:pos="720"/>
          <w:tab w:val="left" w:pos="1440"/>
          <w:tab w:val="left" w:pos="2160"/>
          <w:tab w:val="left" w:pos="2880"/>
          <w:tab w:val="left" w:pos="3600"/>
          <w:tab w:val="left" w:pos="4320"/>
          <w:tab w:val="left" w:pos="5040"/>
        </w:tabs>
        <w:ind w:left="720"/>
        <w:rPr>
          <w:rFonts w:asciiTheme="majorHAnsi" w:hAnsiTheme="majorHAnsi"/>
          <w:b/>
          <w:sz w:val="22"/>
          <w:szCs w:val="22"/>
        </w:rPr>
      </w:pPr>
      <w:r>
        <w:rPr>
          <w:rFonts w:asciiTheme="majorHAnsi" w:hAnsiTheme="majorHAnsi"/>
          <w:sz w:val="22"/>
          <w:szCs w:val="22"/>
        </w:rPr>
        <w:t xml:space="preserve">Steven A. Bank, </w:t>
      </w:r>
      <w:r>
        <w:rPr>
          <w:rFonts w:asciiTheme="majorHAnsi" w:hAnsiTheme="majorHAnsi"/>
          <w:i/>
          <w:sz w:val="22"/>
          <w:szCs w:val="22"/>
        </w:rPr>
        <w:t>From Sword to Shield:  The Transformation of the Corporate Income Tax, 1861 to Present</w:t>
      </w:r>
      <w:r>
        <w:rPr>
          <w:rFonts w:asciiTheme="majorHAnsi" w:hAnsiTheme="majorHAnsi"/>
          <w:sz w:val="22"/>
          <w:szCs w:val="22"/>
        </w:rPr>
        <w:t xml:space="preserve"> </w:t>
      </w:r>
      <w:r w:rsidRPr="00DC7E62">
        <w:rPr>
          <w:rFonts w:asciiTheme="majorHAnsi" w:hAnsiTheme="majorHAnsi"/>
          <w:b/>
          <w:sz w:val="22"/>
          <w:szCs w:val="22"/>
        </w:rPr>
        <w:t>(webpage)</w:t>
      </w:r>
    </w:p>
    <w:p w:rsidR="00DC7E62" w:rsidRDefault="00DC7E62" w:rsidP="00646849">
      <w:pPr>
        <w:rPr>
          <w:rFonts w:asciiTheme="majorHAnsi" w:hAnsiTheme="majorHAnsi"/>
          <w:sz w:val="22"/>
          <w:szCs w:val="22"/>
        </w:rPr>
      </w:pPr>
    </w:p>
    <w:p w:rsidR="00646849" w:rsidRPr="00DC7E62" w:rsidRDefault="00DC7E62" w:rsidP="00DC7E62">
      <w:pPr>
        <w:pStyle w:val="ListParagraph"/>
        <w:numPr>
          <w:ilvl w:val="0"/>
          <w:numId w:val="7"/>
        </w:numPr>
        <w:rPr>
          <w:rFonts w:asciiTheme="majorHAnsi" w:hAnsiTheme="majorHAnsi"/>
          <w:sz w:val="22"/>
          <w:szCs w:val="22"/>
        </w:rPr>
      </w:pPr>
      <w:r w:rsidRPr="00DC7E62">
        <w:rPr>
          <w:rFonts w:asciiTheme="majorHAnsi" w:hAnsiTheme="majorHAnsi"/>
          <w:sz w:val="22"/>
          <w:szCs w:val="22"/>
        </w:rPr>
        <w:t>E&amp;E</w:t>
      </w:r>
      <w:r w:rsidR="00646849" w:rsidRPr="00DC7E62">
        <w:rPr>
          <w:rFonts w:asciiTheme="majorHAnsi" w:hAnsiTheme="majorHAnsi"/>
          <w:sz w:val="22"/>
          <w:szCs w:val="22"/>
        </w:rPr>
        <w:t xml:space="preserve">, pp. </w:t>
      </w:r>
      <w:r w:rsidRPr="00DC7E62">
        <w:rPr>
          <w:rFonts w:asciiTheme="majorHAnsi" w:hAnsiTheme="majorHAnsi"/>
          <w:sz w:val="22"/>
          <w:szCs w:val="22"/>
        </w:rPr>
        <w:t>19-42</w:t>
      </w:r>
      <w:r w:rsidR="00646849" w:rsidRPr="00DC7E62">
        <w:rPr>
          <w:rFonts w:asciiTheme="majorHAnsi" w:hAnsiTheme="majorHAnsi"/>
          <w:sz w:val="22"/>
          <w:szCs w:val="22"/>
        </w:rPr>
        <w:t xml:space="preserve"> (Choice of Entity)</w:t>
      </w:r>
    </w:p>
    <w:p w:rsidR="002B36F9" w:rsidRDefault="002B36F9" w:rsidP="002B36F9">
      <w:pPr>
        <w:tabs>
          <w:tab w:val="left" w:pos="720"/>
          <w:tab w:val="left" w:pos="1440"/>
          <w:tab w:val="left" w:pos="2160"/>
          <w:tab w:val="left" w:pos="2880"/>
          <w:tab w:val="left" w:pos="3600"/>
          <w:tab w:val="left" w:pos="4320"/>
          <w:tab w:val="left" w:pos="5040"/>
        </w:tabs>
        <w:rPr>
          <w:rFonts w:asciiTheme="majorHAnsi" w:hAnsiTheme="majorHAnsi"/>
          <w:sz w:val="22"/>
          <w:szCs w:val="22"/>
        </w:rPr>
      </w:pPr>
    </w:p>
    <w:p w:rsidR="00646849" w:rsidRPr="0032478B" w:rsidRDefault="002B36F9" w:rsidP="002B36F9">
      <w:pPr>
        <w:tabs>
          <w:tab w:val="left" w:pos="720"/>
          <w:tab w:val="left" w:pos="1440"/>
          <w:tab w:val="left" w:pos="2160"/>
          <w:tab w:val="left" w:pos="2880"/>
          <w:tab w:val="left" w:pos="3600"/>
          <w:tab w:val="left" w:pos="4320"/>
          <w:tab w:val="left" w:pos="5040"/>
        </w:tabs>
        <w:ind w:left="720"/>
        <w:rPr>
          <w:rFonts w:asciiTheme="majorHAnsi" w:hAnsiTheme="majorHAnsi"/>
          <w:b/>
          <w:sz w:val="22"/>
          <w:szCs w:val="22"/>
        </w:rPr>
      </w:pPr>
      <w:r w:rsidRPr="002B36F9">
        <w:rPr>
          <w:rFonts w:asciiTheme="majorHAnsi" w:hAnsiTheme="majorHAnsi"/>
          <w:sz w:val="22"/>
          <w:szCs w:val="22"/>
        </w:rPr>
        <w:t>J. Clifton Fleming, et al.,</w:t>
      </w:r>
      <w:r w:rsidRPr="002B36F9">
        <w:rPr>
          <w:rFonts w:asciiTheme="majorHAnsi" w:hAnsiTheme="majorHAnsi"/>
          <w:i/>
          <w:sz w:val="22"/>
          <w:szCs w:val="22"/>
        </w:rPr>
        <w:t xml:space="preserve"> The Games They Will Play:  Tax Games, Roadblocks, and Glitches Under the 2017 Tax Legislation</w:t>
      </w:r>
      <w:r w:rsidR="0032478B">
        <w:rPr>
          <w:rFonts w:asciiTheme="majorHAnsi" w:hAnsiTheme="majorHAnsi"/>
          <w:sz w:val="22"/>
          <w:szCs w:val="22"/>
        </w:rPr>
        <w:t xml:space="preserve">, 103 </w:t>
      </w:r>
      <w:r w:rsidR="0032478B" w:rsidRPr="0032478B">
        <w:rPr>
          <w:rFonts w:asciiTheme="majorHAnsi" w:hAnsiTheme="majorHAnsi"/>
          <w:smallCaps/>
          <w:sz w:val="22"/>
          <w:szCs w:val="22"/>
        </w:rPr>
        <w:t>Minn. L. Rev.</w:t>
      </w:r>
      <w:r w:rsidR="0032478B">
        <w:rPr>
          <w:rFonts w:asciiTheme="majorHAnsi" w:hAnsiTheme="majorHAnsi"/>
          <w:sz w:val="22"/>
          <w:szCs w:val="22"/>
        </w:rPr>
        <w:t xml:space="preserve"> 1439 (2019) (we will focus on Section I, but you are welcome to enjoy the entire article!) </w:t>
      </w:r>
      <w:r w:rsidR="0032478B">
        <w:rPr>
          <w:rFonts w:asciiTheme="majorHAnsi" w:hAnsiTheme="majorHAnsi"/>
          <w:b/>
          <w:sz w:val="22"/>
          <w:szCs w:val="22"/>
        </w:rPr>
        <w:t>(webpage)</w:t>
      </w:r>
    </w:p>
    <w:p w:rsidR="004E3426" w:rsidRDefault="004E3426" w:rsidP="002B36F9">
      <w:pPr>
        <w:tabs>
          <w:tab w:val="left" w:pos="720"/>
          <w:tab w:val="left" w:pos="1440"/>
          <w:tab w:val="left" w:pos="2160"/>
          <w:tab w:val="left" w:pos="2880"/>
          <w:tab w:val="left" w:pos="3600"/>
          <w:tab w:val="left" w:pos="4320"/>
          <w:tab w:val="left" w:pos="5040"/>
        </w:tabs>
        <w:ind w:left="720"/>
        <w:rPr>
          <w:rFonts w:asciiTheme="majorHAnsi" w:hAnsiTheme="majorHAnsi"/>
          <w:sz w:val="22"/>
          <w:szCs w:val="22"/>
        </w:rPr>
      </w:pPr>
    </w:p>
    <w:p w:rsidR="004E3426" w:rsidRPr="004E3426" w:rsidRDefault="004E3426" w:rsidP="002B36F9">
      <w:pPr>
        <w:tabs>
          <w:tab w:val="left" w:pos="720"/>
          <w:tab w:val="left" w:pos="1440"/>
          <w:tab w:val="left" w:pos="2160"/>
          <w:tab w:val="left" w:pos="2880"/>
          <w:tab w:val="left" w:pos="3600"/>
          <w:tab w:val="left" w:pos="4320"/>
          <w:tab w:val="left" w:pos="5040"/>
        </w:tabs>
        <w:ind w:left="720"/>
        <w:rPr>
          <w:rFonts w:asciiTheme="majorHAnsi" w:hAnsiTheme="majorHAnsi"/>
          <w:sz w:val="22"/>
          <w:szCs w:val="22"/>
        </w:rPr>
      </w:pPr>
      <w:r>
        <w:rPr>
          <w:rFonts w:asciiTheme="majorHAnsi" w:hAnsiTheme="majorHAnsi"/>
          <w:sz w:val="22"/>
          <w:szCs w:val="22"/>
        </w:rPr>
        <w:t xml:space="preserve">Victor Fleischer, </w:t>
      </w:r>
      <w:r>
        <w:rPr>
          <w:rFonts w:asciiTheme="majorHAnsi" w:hAnsiTheme="majorHAnsi"/>
          <w:i/>
          <w:sz w:val="22"/>
          <w:szCs w:val="22"/>
        </w:rPr>
        <w:t>Taxing Blackstone</w:t>
      </w:r>
      <w:r w:rsidR="0032478B">
        <w:rPr>
          <w:rFonts w:asciiTheme="majorHAnsi" w:hAnsiTheme="majorHAnsi"/>
          <w:sz w:val="22"/>
          <w:szCs w:val="22"/>
        </w:rPr>
        <w:t xml:space="preserve">, 61 </w:t>
      </w:r>
      <w:r w:rsidR="0032478B" w:rsidRPr="0032478B">
        <w:rPr>
          <w:rFonts w:asciiTheme="majorHAnsi" w:hAnsiTheme="majorHAnsi"/>
          <w:smallCaps/>
          <w:sz w:val="22"/>
          <w:szCs w:val="22"/>
        </w:rPr>
        <w:t>Tax L. Rev.</w:t>
      </w:r>
      <w:r w:rsidR="0032478B">
        <w:rPr>
          <w:rFonts w:asciiTheme="majorHAnsi" w:hAnsiTheme="majorHAnsi"/>
          <w:sz w:val="22"/>
          <w:szCs w:val="22"/>
        </w:rPr>
        <w:t xml:space="preserve"> 89 (2008)</w:t>
      </w:r>
      <w:r>
        <w:rPr>
          <w:rFonts w:asciiTheme="majorHAnsi" w:hAnsiTheme="majorHAnsi"/>
          <w:sz w:val="22"/>
          <w:szCs w:val="22"/>
        </w:rPr>
        <w:t xml:space="preserve"> </w:t>
      </w:r>
      <w:r w:rsidRPr="004E3426">
        <w:rPr>
          <w:rFonts w:asciiTheme="majorHAnsi" w:hAnsiTheme="majorHAnsi"/>
          <w:b/>
          <w:sz w:val="22"/>
          <w:szCs w:val="22"/>
        </w:rPr>
        <w:t>(webpage)</w:t>
      </w:r>
    </w:p>
    <w:p w:rsidR="00DC7E62" w:rsidRPr="003634EA" w:rsidRDefault="00646849" w:rsidP="002B36F9">
      <w:pPr>
        <w:rPr>
          <w:rFonts w:asciiTheme="majorHAnsi" w:hAnsiTheme="majorHAnsi"/>
          <w:sz w:val="22"/>
          <w:szCs w:val="22"/>
        </w:rPr>
      </w:pPr>
      <w:r w:rsidRPr="003634EA">
        <w:rPr>
          <w:rFonts w:asciiTheme="majorHAnsi" w:hAnsiTheme="majorHAnsi"/>
          <w:sz w:val="22"/>
          <w:szCs w:val="22"/>
        </w:rPr>
        <w:tab/>
      </w:r>
    </w:p>
    <w:p w:rsidR="00646849" w:rsidRPr="003634EA" w:rsidRDefault="00646849" w:rsidP="00646849">
      <w:pPr>
        <w:rPr>
          <w:rFonts w:asciiTheme="majorHAnsi" w:hAnsiTheme="majorHAnsi"/>
          <w:sz w:val="22"/>
          <w:szCs w:val="22"/>
        </w:rPr>
      </w:pPr>
    </w:p>
    <w:p w:rsidR="00646849" w:rsidRPr="002A4364" w:rsidRDefault="002A4364" w:rsidP="002A4364">
      <w:pPr>
        <w:pStyle w:val="ListParagraph"/>
        <w:numPr>
          <w:ilvl w:val="0"/>
          <w:numId w:val="7"/>
        </w:numPr>
        <w:tabs>
          <w:tab w:val="left" w:pos="720"/>
        </w:tabs>
        <w:rPr>
          <w:rFonts w:asciiTheme="majorHAnsi" w:hAnsiTheme="majorHAnsi"/>
          <w:sz w:val="22"/>
          <w:szCs w:val="22"/>
        </w:rPr>
      </w:pPr>
      <w:r>
        <w:rPr>
          <w:rFonts w:asciiTheme="majorHAnsi" w:hAnsiTheme="majorHAnsi"/>
          <w:sz w:val="22"/>
          <w:szCs w:val="22"/>
        </w:rPr>
        <w:t>Substance Over Form</w:t>
      </w:r>
    </w:p>
    <w:p w:rsidR="00646849" w:rsidRDefault="00646849" w:rsidP="00646849">
      <w:pPr>
        <w:rPr>
          <w:rFonts w:asciiTheme="majorHAnsi" w:hAnsiTheme="majorHAnsi"/>
          <w:sz w:val="22"/>
          <w:szCs w:val="22"/>
        </w:rPr>
      </w:pPr>
    </w:p>
    <w:p w:rsidR="00BF2E45" w:rsidRPr="00BF2E45" w:rsidRDefault="00BF2E45" w:rsidP="00BF2E45">
      <w:pPr>
        <w:ind w:left="720"/>
        <w:rPr>
          <w:rFonts w:asciiTheme="majorHAnsi" w:hAnsiTheme="majorHAnsi"/>
          <w:sz w:val="22"/>
          <w:szCs w:val="22"/>
        </w:rPr>
      </w:pPr>
      <w:r w:rsidRPr="00BF2E45">
        <w:rPr>
          <w:rFonts w:asciiTheme="majorHAnsi" w:hAnsiTheme="majorHAnsi"/>
          <w:i/>
          <w:sz w:val="22"/>
          <w:szCs w:val="22"/>
        </w:rPr>
        <w:t>Gregory v. Helvering</w:t>
      </w:r>
      <w:r w:rsidRPr="00BF2E45">
        <w:rPr>
          <w:rFonts w:asciiTheme="majorHAnsi" w:hAnsiTheme="majorHAnsi"/>
          <w:sz w:val="22"/>
          <w:szCs w:val="22"/>
        </w:rPr>
        <w:t>, 69 F.2d 810 (2d Cir. 1934), aff’d, 293 U.S. 465</w:t>
      </w:r>
    </w:p>
    <w:p w:rsidR="00BF2E45" w:rsidRDefault="00BF2E45" w:rsidP="00BF2E45">
      <w:pPr>
        <w:ind w:left="720"/>
        <w:rPr>
          <w:rFonts w:asciiTheme="majorHAnsi" w:hAnsiTheme="majorHAnsi"/>
          <w:b/>
          <w:sz w:val="22"/>
          <w:szCs w:val="22"/>
        </w:rPr>
      </w:pPr>
      <w:r>
        <w:rPr>
          <w:rFonts w:asciiTheme="majorHAnsi" w:hAnsiTheme="majorHAnsi"/>
          <w:sz w:val="22"/>
          <w:szCs w:val="22"/>
        </w:rPr>
        <w:t xml:space="preserve">(1935) </w:t>
      </w:r>
      <w:r w:rsidRPr="00BF2E45">
        <w:rPr>
          <w:rFonts w:asciiTheme="majorHAnsi" w:hAnsiTheme="majorHAnsi"/>
          <w:b/>
          <w:sz w:val="22"/>
          <w:szCs w:val="22"/>
        </w:rPr>
        <w:t>(webpage)</w:t>
      </w:r>
    </w:p>
    <w:p w:rsidR="00A04193" w:rsidRDefault="00A04193" w:rsidP="00BF2E45">
      <w:pPr>
        <w:ind w:left="720"/>
        <w:rPr>
          <w:rFonts w:asciiTheme="majorHAnsi" w:hAnsiTheme="majorHAnsi"/>
          <w:b/>
          <w:sz w:val="22"/>
          <w:szCs w:val="22"/>
        </w:rPr>
      </w:pPr>
      <w:r>
        <w:rPr>
          <w:rFonts w:asciiTheme="majorHAnsi" w:hAnsiTheme="majorHAnsi"/>
          <w:sz w:val="22"/>
          <w:szCs w:val="22"/>
        </w:rPr>
        <w:t>United Parcel Service, Inc. v. Comm’r, (11</w:t>
      </w:r>
      <w:r w:rsidRPr="00A04193">
        <w:rPr>
          <w:rFonts w:asciiTheme="majorHAnsi" w:hAnsiTheme="majorHAnsi"/>
          <w:sz w:val="22"/>
          <w:szCs w:val="22"/>
          <w:vertAlign w:val="superscript"/>
        </w:rPr>
        <w:t>th</w:t>
      </w:r>
      <w:r>
        <w:rPr>
          <w:rFonts w:asciiTheme="majorHAnsi" w:hAnsiTheme="majorHAnsi"/>
          <w:sz w:val="22"/>
          <w:szCs w:val="22"/>
        </w:rPr>
        <w:t xml:space="preserve"> Cir. 2001) </w:t>
      </w:r>
      <w:r w:rsidRPr="00A04193">
        <w:rPr>
          <w:rFonts w:asciiTheme="majorHAnsi" w:hAnsiTheme="majorHAnsi"/>
          <w:b/>
          <w:sz w:val="22"/>
          <w:szCs w:val="22"/>
        </w:rPr>
        <w:t>(webpage)</w:t>
      </w:r>
    </w:p>
    <w:p w:rsidR="00A04193" w:rsidRDefault="00A04193" w:rsidP="00BF2E45">
      <w:pPr>
        <w:ind w:left="720"/>
        <w:rPr>
          <w:rFonts w:asciiTheme="majorHAnsi" w:hAnsiTheme="majorHAnsi"/>
          <w:sz w:val="22"/>
          <w:szCs w:val="22"/>
        </w:rPr>
      </w:pPr>
      <w:r w:rsidRPr="00A04193">
        <w:rPr>
          <w:rFonts w:asciiTheme="majorHAnsi" w:hAnsiTheme="majorHAnsi"/>
          <w:i/>
          <w:sz w:val="22"/>
          <w:szCs w:val="22"/>
        </w:rPr>
        <w:t>Coltec Indus., Inc. v. United States</w:t>
      </w:r>
      <w:r w:rsidRPr="00A04193">
        <w:rPr>
          <w:rFonts w:asciiTheme="majorHAnsi" w:hAnsiTheme="majorHAnsi"/>
          <w:sz w:val="22"/>
          <w:szCs w:val="22"/>
        </w:rPr>
        <w:t>, 454 F.3d 1340 (Fed. Cir. 2006)</w:t>
      </w:r>
      <w:r w:rsidRPr="00A04193">
        <w:rPr>
          <w:rFonts w:asciiTheme="majorHAnsi" w:hAnsiTheme="majorHAnsi"/>
          <w:b/>
          <w:sz w:val="22"/>
          <w:szCs w:val="22"/>
        </w:rPr>
        <w:t xml:space="preserve"> (webpage)</w:t>
      </w:r>
    </w:p>
    <w:p w:rsidR="00F30903" w:rsidRPr="00BF2E45" w:rsidRDefault="00BF2E45" w:rsidP="00BF2E45">
      <w:pPr>
        <w:ind w:left="720"/>
        <w:rPr>
          <w:rFonts w:asciiTheme="majorHAnsi" w:hAnsiTheme="majorHAnsi"/>
          <w:i/>
          <w:sz w:val="22"/>
          <w:szCs w:val="22"/>
        </w:rPr>
      </w:pPr>
      <w:r>
        <w:rPr>
          <w:rFonts w:asciiTheme="majorHAnsi" w:hAnsiTheme="majorHAnsi"/>
          <w:sz w:val="22"/>
          <w:szCs w:val="22"/>
        </w:rPr>
        <w:t xml:space="preserve">Bret Wells, </w:t>
      </w:r>
      <w:r>
        <w:rPr>
          <w:rFonts w:asciiTheme="majorHAnsi" w:hAnsiTheme="majorHAnsi"/>
          <w:i/>
          <w:sz w:val="22"/>
          <w:szCs w:val="22"/>
        </w:rPr>
        <w:t xml:space="preserve">Economic Substance Doctrine:  How Codification Changes Decided Cases </w:t>
      </w:r>
      <w:r w:rsidRPr="00BF2E45">
        <w:rPr>
          <w:rFonts w:asciiTheme="majorHAnsi" w:hAnsiTheme="majorHAnsi"/>
          <w:b/>
          <w:sz w:val="22"/>
          <w:szCs w:val="22"/>
        </w:rPr>
        <w:t>(webpage)</w:t>
      </w:r>
    </w:p>
    <w:p w:rsidR="00F30903" w:rsidRPr="003634EA" w:rsidRDefault="00F30903" w:rsidP="00646849">
      <w:pPr>
        <w:rPr>
          <w:rFonts w:asciiTheme="majorHAnsi" w:hAnsiTheme="majorHAnsi"/>
          <w:sz w:val="22"/>
          <w:szCs w:val="22"/>
        </w:rPr>
      </w:pPr>
    </w:p>
    <w:p w:rsidR="00646849" w:rsidRPr="002A4364" w:rsidRDefault="00BF2E45" w:rsidP="002A4364">
      <w:pPr>
        <w:pStyle w:val="ListParagraph"/>
        <w:numPr>
          <w:ilvl w:val="0"/>
          <w:numId w:val="7"/>
        </w:numPr>
        <w:tabs>
          <w:tab w:val="left" w:pos="720"/>
        </w:tabs>
        <w:rPr>
          <w:rFonts w:asciiTheme="majorHAnsi" w:hAnsiTheme="majorHAnsi"/>
          <w:sz w:val="22"/>
          <w:szCs w:val="22"/>
        </w:rPr>
      </w:pPr>
      <w:r>
        <w:rPr>
          <w:rFonts w:asciiTheme="majorHAnsi" w:hAnsiTheme="majorHAnsi"/>
          <w:sz w:val="22"/>
          <w:szCs w:val="22"/>
        </w:rPr>
        <w:t>E&amp;E</w:t>
      </w:r>
      <w:r w:rsidR="00646849" w:rsidRPr="002A4364">
        <w:rPr>
          <w:rFonts w:asciiTheme="majorHAnsi" w:hAnsiTheme="majorHAnsi"/>
          <w:sz w:val="22"/>
          <w:szCs w:val="22"/>
        </w:rPr>
        <w:t>, pp</w:t>
      </w:r>
      <w:r w:rsidR="00663698" w:rsidRPr="002A4364">
        <w:rPr>
          <w:rFonts w:asciiTheme="majorHAnsi" w:hAnsiTheme="majorHAnsi"/>
          <w:sz w:val="22"/>
          <w:szCs w:val="22"/>
        </w:rPr>
        <w:t xml:space="preserve">. </w:t>
      </w:r>
      <w:r>
        <w:rPr>
          <w:rFonts w:asciiTheme="majorHAnsi" w:hAnsiTheme="majorHAnsi"/>
          <w:sz w:val="22"/>
          <w:szCs w:val="22"/>
        </w:rPr>
        <w:t>65-98</w:t>
      </w:r>
      <w:r w:rsidR="00646849" w:rsidRPr="002A4364">
        <w:rPr>
          <w:rFonts w:asciiTheme="majorHAnsi" w:hAnsiTheme="majorHAnsi"/>
          <w:sz w:val="22"/>
          <w:szCs w:val="22"/>
        </w:rPr>
        <w:t xml:space="preserve"> (Transfers to Controlled Corporations, Part I)</w:t>
      </w:r>
    </w:p>
    <w:p w:rsidR="00646849" w:rsidRPr="003634EA" w:rsidRDefault="00646849" w:rsidP="00646849">
      <w:pPr>
        <w:rPr>
          <w:rFonts w:asciiTheme="majorHAnsi" w:hAnsiTheme="majorHAnsi"/>
          <w:sz w:val="22"/>
          <w:szCs w:val="22"/>
        </w:rPr>
      </w:pPr>
    </w:p>
    <w:p w:rsidR="004B3FDE" w:rsidRDefault="00646849" w:rsidP="004B3FDE">
      <w:pPr>
        <w:rPr>
          <w:rFonts w:asciiTheme="majorHAnsi" w:hAnsiTheme="majorHAnsi"/>
          <w:sz w:val="22"/>
          <w:szCs w:val="22"/>
        </w:rPr>
      </w:pPr>
      <w:r w:rsidRPr="003634EA">
        <w:rPr>
          <w:rFonts w:asciiTheme="majorHAnsi" w:hAnsiTheme="majorHAnsi"/>
          <w:sz w:val="22"/>
          <w:szCs w:val="22"/>
        </w:rPr>
        <w:tab/>
      </w:r>
      <w:r w:rsidR="004B3FDE">
        <w:rPr>
          <w:rFonts w:asciiTheme="majorHAnsi" w:hAnsiTheme="majorHAnsi"/>
          <w:i/>
          <w:sz w:val="22"/>
          <w:szCs w:val="22"/>
        </w:rPr>
        <w:t xml:space="preserve">James v. Comm’r, </w:t>
      </w:r>
      <w:r w:rsidR="004B3FDE" w:rsidRPr="004938AE">
        <w:rPr>
          <w:rFonts w:asciiTheme="majorHAnsi" w:hAnsiTheme="majorHAnsi"/>
          <w:sz w:val="22"/>
          <w:szCs w:val="22"/>
        </w:rPr>
        <w:t>53 T.C. 63 (1969)</w:t>
      </w:r>
    </w:p>
    <w:p w:rsidR="004B3FDE" w:rsidRDefault="004B3FDE" w:rsidP="004B3FDE">
      <w:pPr>
        <w:ind w:left="720"/>
        <w:rPr>
          <w:rFonts w:asciiTheme="majorHAnsi" w:hAnsiTheme="majorHAnsi"/>
          <w:sz w:val="22"/>
          <w:szCs w:val="22"/>
        </w:rPr>
      </w:pPr>
      <w:r>
        <w:rPr>
          <w:rFonts w:asciiTheme="majorHAnsi" w:hAnsiTheme="majorHAnsi"/>
          <w:i/>
          <w:sz w:val="22"/>
          <w:szCs w:val="22"/>
        </w:rPr>
        <w:t>Kamborian’s Estate v. Comm’r</w:t>
      </w:r>
      <w:r>
        <w:rPr>
          <w:rFonts w:asciiTheme="majorHAnsi" w:hAnsiTheme="majorHAnsi"/>
          <w:sz w:val="22"/>
          <w:szCs w:val="22"/>
        </w:rPr>
        <w:t>, 469 F.2d 19 (1</w:t>
      </w:r>
      <w:r w:rsidRPr="00983400">
        <w:rPr>
          <w:rFonts w:asciiTheme="majorHAnsi" w:hAnsiTheme="majorHAnsi"/>
          <w:sz w:val="22"/>
          <w:szCs w:val="22"/>
          <w:vertAlign w:val="superscript"/>
        </w:rPr>
        <w:t>st</w:t>
      </w:r>
      <w:r>
        <w:rPr>
          <w:rFonts w:asciiTheme="majorHAnsi" w:hAnsiTheme="majorHAnsi"/>
          <w:sz w:val="22"/>
          <w:szCs w:val="22"/>
        </w:rPr>
        <w:t xml:space="preserve"> Cir. 1972)</w:t>
      </w:r>
    </w:p>
    <w:p w:rsidR="004B3FDE" w:rsidRPr="00983400" w:rsidRDefault="004B3FDE" w:rsidP="004B3FDE">
      <w:pPr>
        <w:ind w:left="720"/>
        <w:rPr>
          <w:rFonts w:asciiTheme="majorHAnsi" w:hAnsiTheme="majorHAnsi"/>
          <w:sz w:val="22"/>
          <w:szCs w:val="22"/>
        </w:rPr>
      </w:pPr>
    </w:p>
    <w:p w:rsidR="004B3FDE" w:rsidRPr="003634EA" w:rsidRDefault="004B3FDE" w:rsidP="004B3FDE">
      <w:pPr>
        <w:rPr>
          <w:rFonts w:asciiTheme="majorHAnsi" w:hAnsiTheme="majorHAnsi"/>
          <w:sz w:val="22"/>
          <w:szCs w:val="22"/>
        </w:rPr>
      </w:pPr>
      <w:r w:rsidRPr="003634EA">
        <w:rPr>
          <w:rFonts w:asciiTheme="majorHAnsi" w:hAnsiTheme="majorHAnsi"/>
          <w:sz w:val="22"/>
          <w:szCs w:val="22"/>
        </w:rPr>
        <w:tab/>
      </w:r>
      <w:r w:rsidRPr="003634EA">
        <w:rPr>
          <w:rFonts w:asciiTheme="majorHAnsi" w:hAnsiTheme="majorHAnsi"/>
          <w:b/>
          <w:sz w:val="22"/>
          <w:szCs w:val="22"/>
        </w:rPr>
        <w:t>Problem Set #2</w:t>
      </w:r>
      <w:r w:rsidRPr="003634EA">
        <w:rPr>
          <w:rFonts w:asciiTheme="majorHAnsi" w:hAnsiTheme="majorHAnsi"/>
          <w:sz w:val="22"/>
          <w:szCs w:val="22"/>
        </w:rPr>
        <w:t xml:space="preserve"> (351 Transfers) </w:t>
      </w:r>
      <w:r w:rsidRPr="00BF2E45">
        <w:rPr>
          <w:rFonts w:asciiTheme="majorHAnsi" w:hAnsiTheme="majorHAnsi"/>
          <w:b/>
          <w:bCs/>
          <w:sz w:val="22"/>
          <w:szCs w:val="22"/>
        </w:rPr>
        <w:t>(webpage)</w:t>
      </w:r>
    </w:p>
    <w:p w:rsidR="004B3FDE" w:rsidRPr="003634EA" w:rsidRDefault="004B3FDE" w:rsidP="004B3FDE">
      <w:pPr>
        <w:rPr>
          <w:rFonts w:asciiTheme="majorHAnsi" w:hAnsiTheme="majorHAnsi"/>
          <w:sz w:val="22"/>
          <w:szCs w:val="22"/>
        </w:rPr>
      </w:pPr>
      <w:r w:rsidRPr="003634EA">
        <w:rPr>
          <w:rFonts w:asciiTheme="majorHAnsi" w:hAnsiTheme="majorHAnsi"/>
          <w:sz w:val="22"/>
          <w:szCs w:val="22"/>
        </w:rPr>
        <w:tab/>
      </w:r>
      <w:r w:rsidRPr="003634EA">
        <w:rPr>
          <w:rFonts w:asciiTheme="majorHAnsi" w:hAnsiTheme="majorHAnsi"/>
          <w:b/>
          <w:sz w:val="22"/>
          <w:szCs w:val="22"/>
        </w:rPr>
        <w:t>Problem Set #3</w:t>
      </w:r>
      <w:r w:rsidRPr="003634EA">
        <w:rPr>
          <w:rFonts w:asciiTheme="majorHAnsi" w:hAnsiTheme="majorHAnsi"/>
          <w:sz w:val="22"/>
          <w:szCs w:val="22"/>
        </w:rPr>
        <w:t xml:space="preserve"> (351 Transfers) </w:t>
      </w:r>
      <w:r w:rsidRPr="00BF2E45">
        <w:rPr>
          <w:rFonts w:asciiTheme="majorHAnsi" w:hAnsiTheme="majorHAnsi"/>
          <w:b/>
          <w:bCs/>
          <w:sz w:val="22"/>
          <w:szCs w:val="22"/>
        </w:rPr>
        <w:t>(webpage)</w:t>
      </w:r>
    </w:p>
    <w:p w:rsidR="004B3FDE" w:rsidRPr="003634EA" w:rsidRDefault="004B3FDE" w:rsidP="004B3FDE">
      <w:pPr>
        <w:rPr>
          <w:rFonts w:asciiTheme="majorHAnsi" w:hAnsiTheme="majorHAnsi"/>
          <w:sz w:val="22"/>
          <w:szCs w:val="22"/>
        </w:rPr>
      </w:pPr>
    </w:p>
    <w:p w:rsidR="004B3FDE" w:rsidRPr="004B3FDE" w:rsidRDefault="004B3FDE" w:rsidP="004B3FDE">
      <w:pPr>
        <w:pStyle w:val="ListParagraph"/>
        <w:numPr>
          <w:ilvl w:val="0"/>
          <w:numId w:val="7"/>
        </w:numPr>
        <w:tabs>
          <w:tab w:val="left" w:pos="720"/>
        </w:tabs>
        <w:rPr>
          <w:rFonts w:asciiTheme="majorHAnsi" w:hAnsiTheme="majorHAnsi"/>
          <w:sz w:val="22"/>
          <w:szCs w:val="22"/>
        </w:rPr>
      </w:pPr>
      <w:r w:rsidRPr="004B3FDE">
        <w:rPr>
          <w:rFonts w:asciiTheme="majorHAnsi" w:hAnsiTheme="majorHAnsi"/>
          <w:sz w:val="22"/>
          <w:szCs w:val="22"/>
        </w:rPr>
        <w:t>E&amp;E, pp. 98-121 (Transfers to Controlled Corporations, Part II (Assumption of Liabilities))</w:t>
      </w:r>
    </w:p>
    <w:p w:rsidR="004B3FDE" w:rsidRDefault="004B3FDE" w:rsidP="004B3FDE">
      <w:pPr>
        <w:ind w:left="720"/>
        <w:rPr>
          <w:rFonts w:asciiTheme="majorHAnsi" w:hAnsiTheme="majorHAnsi"/>
          <w:sz w:val="22"/>
          <w:szCs w:val="22"/>
        </w:rPr>
      </w:pPr>
      <w:r>
        <w:rPr>
          <w:rFonts w:asciiTheme="majorHAnsi" w:hAnsiTheme="majorHAnsi"/>
          <w:sz w:val="22"/>
          <w:szCs w:val="22"/>
        </w:rPr>
        <w:tab/>
      </w:r>
    </w:p>
    <w:p w:rsidR="004B3FDE" w:rsidRDefault="004B3FDE" w:rsidP="004B3FDE">
      <w:pPr>
        <w:ind w:left="720"/>
        <w:rPr>
          <w:rFonts w:asciiTheme="majorHAnsi" w:hAnsiTheme="majorHAnsi"/>
          <w:sz w:val="22"/>
          <w:szCs w:val="22"/>
        </w:rPr>
      </w:pPr>
      <w:r>
        <w:rPr>
          <w:rFonts w:asciiTheme="majorHAnsi" w:hAnsiTheme="majorHAnsi"/>
          <w:i/>
          <w:sz w:val="22"/>
          <w:szCs w:val="22"/>
        </w:rPr>
        <w:t xml:space="preserve">Lessinger v. </w:t>
      </w:r>
      <w:r w:rsidRPr="00983400">
        <w:rPr>
          <w:rFonts w:asciiTheme="majorHAnsi" w:hAnsiTheme="majorHAnsi"/>
          <w:i/>
          <w:sz w:val="22"/>
          <w:szCs w:val="22"/>
        </w:rPr>
        <w:t>Comm’r</w:t>
      </w:r>
      <w:r>
        <w:rPr>
          <w:rFonts w:asciiTheme="majorHAnsi" w:hAnsiTheme="majorHAnsi"/>
          <w:sz w:val="22"/>
          <w:szCs w:val="22"/>
        </w:rPr>
        <w:t>, 872 F.2d 519 (2d Cir. 1989)</w:t>
      </w:r>
    </w:p>
    <w:p w:rsidR="004B3FDE" w:rsidRDefault="004B3FDE" w:rsidP="004B3FDE">
      <w:pPr>
        <w:ind w:left="720"/>
        <w:rPr>
          <w:rFonts w:asciiTheme="majorHAnsi" w:hAnsiTheme="majorHAnsi"/>
          <w:sz w:val="22"/>
          <w:szCs w:val="22"/>
        </w:rPr>
      </w:pPr>
      <w:r w:rsidRPr="00983400">
        <w:rPr>
          <w:rFonts w:asciiTheme="majorHAnsi" w:hAnsiTheme="majorHAnsi"/>
          <w:i/>
          <w:sz w:val="22"/>
          <w:szCs w:val="22"/>
        </w:rPr>
        <w:t>Coltec</w:t>
      </w:r>
      <w:r w:rsidRPr="00A04193">
        <w:rPr>
          <w:rFonts w:asciiTheme="majorHAnsi" w:hAnsiTheme="majorHAnsi"/>
          <w:i/>
          <w:sz w:val="22"/>
          <w:szCs w:val="22"/>
        </w:rPr>
        <w:t xml:space="preserve"> Indus., Inc. v. United States</w:t>
      </w:r>
      <w:r w:rsidRPr="00A04193">
        <w:rPr>
          <w:rFonts w:asciiTheme="majorHAnsi" w:hAnsiTheme="majorHAnsi"/>
          <w:sz w:val="22"/>
          <w:szCs w:val="22"/>
        </w:rPr>
        <w:t>, 454 F.3d 1340 (Fed. Cir. 2006)</w:t>
      </w:r>
      <w:r w:rsidRPr="00A04193">
        <w:rPr>
          <w:rFonts w:asciiTheme="majorHAnsi" w:hAnsiTheme="majorHAnsi"/>
          <w:b/>
          <w:sz w:val="22"/>
          <w:szCs w:val="22"/>
        </w:rPr>
        <w:t xml:space="preserve"> </w:t>
      </w:r>
    </w:p>
    <w:p w:rsidR="004B3FDE" w:rsidRPr="003634EA" w:rsidRDefault="004B3FDE" w:rsidP="004B3FDE">
      <w:pPr>
        <w:rPr>
          <w:rFonts w:asciiTheme="majorHAnsi" w:hAnsiTheme="majorHAnsi"/>
          <w:sz w:val="22"/>
          <w:szCs w:val="22"/>
        </w:rPr>
      </w:pPr>
    </w:p>
    <w:p w:rsidR="004B3FDE" w:rsidRDefault="004B3FDE" w:rsidP="004B3FDE">
      <w:pPr>
        <w:rPr>
          <w:rFonts w:asciiTheme="majorHAnsi" w:hAnsiTheme="majorHAnsi"/>
          <w:b/>
          <w:bCs/>
          <w:sz w:val="22"/>
          <w:szCs w:val="22"/>
        </w:rPr>
      </w:pPr>
      <w:r w:rsidRPr="003634EA">
        <w:rPr>
          <w:rFonts w:asciiTheme="majorHAnsi" w:hAnsiTheme="majorHAnsi"/>
          <w:sz w:val="22"/>
          <w:szCs w:val="22"/>
        </w:rPr>
        <w:tab/>
      </w:r>
      <w:r w:rsidRPr="003634EA">
        <w:rPr>
          <w:rFonts w:asciiTheme="majorHAnsi" w:hAnsiTheme="majorHAnsi"/>
          <w:b/>
          <w:sz w:val="22"/>
          <w:szCs w:val="22"/>
        </w:rPr>
        <w:t>Problem Set #4</w:t>
      </w:r>
      <w:r w:rsidRPr="003634EA">
        <w:rPr>
          <w:rFonts w:asciiTheme="majorHAnsi" w:hAnsiTheme="majorHAnsi"/>
          <w:sz w:val="22"/>
          <w:szCs w:val="22"/>
        </w:rPr>
        <w:t xml:space="preserve"> (351 Transfers) </w:t>
      </w:r>
      <w:r w:rsidRPr="00BF2E45">
        <w:rPr>
          <w:rFonts w:asciiTheme="majorHAnsi" w:hAnsiTheme="majorHAnsi"/>
          <w:b/>
          <w:bCs/>
          <w:sz w:val="22"/>
          <w:szCs w:val="22"/>
        </w:rPr>
        <w:t>(webpage)</w:t>
      </w:r>
    </w:p>
    <w:p w:rsidR="004B3FDE" w:rsidRDefault="004B3FDE" w:rsidP="004B3FDE">
      <w:pPr>
        <w:rPr>
          <w:rFonts w:asciiTheme="majorHAnsi" w:hAnsiTheme="majorHAnsi"/>
          <w:b/>
          <w:bCs/>
          <w:sz w:val="22"/>
          <w:szCs w:val="22"/>
        </w:rPr>
      </w:pPr>
    </w:p>
    <w:p w:rsidR="004B3FDE" w:rsidRDefault="004B3FDE" w:rsidP="004B3FDE">
      <w:pPr>
        <w:pStyle w:val="ListParagraph"/>
        <w:numPr>
          <w:ilvl w:val="0"/>
          <w:numId w:val="7"/>
        </w:numPr>
        <w:rPr>
          <w:rFonts w:asciiTheme="majorHAnsi" w:hAnsiTheme="majorHAnsi"/>
          <w:bCs/>
          <w:sz w:val="22"/>
          <w:szCs w:val="22"/>
        </w:rPr>
      </w:pPr>
      <w:r>
        <w:rPr>
          <w:rFonts w:asciiTheme="majorHAnsi" w:hAnsiTheme="majorHAnsi"/>
          <w:bCs/>
          <w:sz w:val="22"/>
          <w:szCs w:val="22"/>
        </w:rPr>
        <w:t>E&amp;E, pp. 141-79 (Nonliquidating Distributions)</w:t>
      </w:r>
    </w:p>
    <w:p w:rsidR="004B3FDE" w:rsidRPr="00161867" w:rsidRDefault="004B3FDE" w:rsidP="004B3FDE">
      <w:pPr>
        <w:rPr>
          <w:rFonts w:asciiTheme="majorHAnsi" w:hAnsiTheme="majorHAnsi"/>
          <w:bCs/>
          <w:sz w:val="22"/>
          <w:szCs w:val="22"/>
        </w:rPr>
      </w:pPr>
    </w:p>
    <w:p w:rsidR="004B3FDE" w:rsidRPr="00161867" w:rsidRDefault="004B3FDE" w:rsidP="004B3FDE">
      <w:pPr>
        <w:ind w:left="720"/>
        <w:rPr>
          <w:rFonts w:asciiTheme="majorHAnsi" w:hAnsiTheme="majorHAnsi"/>
          <w:bCs/>
          <w:i/>
          <w:sz w:val="22"/>
          <w:szCs w:val="22"/>
        </w:rPr>
      </w:pPr>
      <w:r w:rsidRPr="00161867">
        <w:rPr>
          <w:rFonts w:asciiTheme="majorHAnsi" w:hAnsiTheme="majorHAnsi"/>
          <w:bCs/>
          <w:i/>
          <w:sz w:val="22"/>
          <w:szCs w:val="22"/>
        </w:rPr>
        <w:t>The Progressive Corp. v. U.S., 970 F.2d 188</w:t>
      </w:r>
      <w:r w:rsidRPr="00161867">
        <w:rPr>
          <w:rFonts w:asciiTheme="majorHAnsi" w:hAnsiTheme="majorHAnsi"/>
          <w:bCs/>
          <w:sz w:val="22"/>
          <w:szCs w:val="22"/>
        </w:rPr>
        <w:t xml:space="preserve"> (6</w:t>
      </w:r>
      <w:r w:rsidRPr="00161867">
        <w:rPr>
          <w:rFonts w:asciiTheme="majorHAnsi" w:hAnsiTheme="majorHAnsi"/>
          <w:bCs/>
          <w:sz w:val="22"/>
          <w:szCs w:val="22"/>
          <w:vertAlign w:val="superscript"/>
        </w:rPr>
        <w:t>th</w:t>
      </w:r>
      <w:r w:rsidRPr="00161867">
        <w:rPr>
          <w:rFonts w:asciiTheme="majorHAnsi" w:hAnsiTheme="majorHAnsi"/>
          <w:bCs/>
          <w:sz w:val="22"/>
          <w:szCs w:val="22"/>
        </w:rPr>
        <w:t xml:space="preserve"> Cir. 1992)</w:t>
      </w:r>
    </w:p>
    <w:p w:rsidR="004B3FDE" w:rsidRPr="00161867" w:rsidRDefault="004B3FDE" w:rsidP="004B3FDE">
      <w:pPr>
        <w:ind w:left="720"/>
        <w:rPr>
          <w:rFonts w:asciiTheme="majorHAnsi" w:hAnsiTheme="majorHAnsi"/>
          <w:bCs/>
          <w:sz w:val="22"/>
          <w:szCs w:val="22"/>
        </w:rPr>
      </w:pPr>
      <w:r w:rsidRPr="00161867">
        <w:rPr>
          <w:rFonts w:asciiTheme="majorHAnsi" w:hAnsiTheme="majorHAnsi"/>
          <w:bCs/>
          <w:i/>
          <w:sz w:val="22"/>
          <w:szCs w:val="22"/>
        </w:rPr>
        <w:t>General Utilities &amp; Operating Co. v. Helvering</w:t>
      </w:r>
      <w:r w:rsidRPr="00161867">
        <w:rPr>
          <w:rFonts w:asciiTheme="majorHAnsi" w:hAnsiTheme="majorHAnsi"/>
          <w:bCs/>
          <w:sz w:val="22"/>
          <w:szCs w:val="22"/>
        </w:rPr>
        <w:t>, 296 U.S. 200 (1935)</w:t>
      </w:r>
    </w:p>
    <w:p w:rsidR="004B3FDE" w:rsidRDefault="004B3FDE" w:rsidP="004B3FDE">
      <w:pPr>
        <w:ind w:left="720"/>
        <w:rPr>
          <w:rFonts w:asciiTheme="majorHAnsi" w:hAnsiTheme="majorHAnsi"/>
          <w:b/>
          <w:bCs/>
          <w:sz w:val="22"/>
          <w:szCs w:val="22"/>
        </w:rPr>
      </w:pPr>
    </w:p>
    <w:p w:rsidR="004B3FDE" w:rsidRDefault="004B3FDE" w:rsidP="004B3FDE">
      <w:pPr>
        <w:ind w:left="720"/>
        <w:rPr>
          <w:rFonts w:asciiTheme="majorHAnsi" w:hAnsiTheme="majorHAnsi"/>
          <w:b/>
          <w:bCs/>
          <w:sz w:val="22"/>
          <w:szCs w:val="22"/>
        </w:rPr>
      </w:pPr>
      <w:r>
        <w:rPr>
          <w:rFonts w:asciiTheme="majorHAnsi" w:hAnsiTheme="majorHAnsi"/>
          <w:b/>
          <w:bCs/>
          <w:sz w:val="22"/>
          <w:szCs w:val="22"/>
        </w:rPr>
        <w:t>Problem Set #5 and #6</w:t>
      </w:r>
      <w:r>
        <w:rPr>
          <w:rFonts w:asciiTheme="majorHAnsi" w:hAnsiTheme="majorHAnsi"/>
          <w:bCs/>
          <w:sz w:val="22"/>
          <w:szCs w:val="22"/>
        </w:rPr>
        <w:t xml:space="preserve"> (Ordinary Distributions)</w:t>
      </w:r>
      <w:r>
        <w:rPr>
          <w:rFonts w:asciiTheme="majorHAnsi" w:hAnsiTheme="majorHAnsi"/>
          <w:b/>
          <w:bCs/>
          <w:sz w:val="22"/>
          <w:szCs w:val="22"/>
        </w:rPr>
        <w:t xml:space="preserve"> (webpage)</w:t>
      </w:r>
    </w:p>
    <w:p w:rsidR="004B3FDE" w:rsidRDefault="004B3FDE" w:rsidP="004B3FDE">
      <w:pPr>
        <w:ind w:left="720"/>
        <w:rPr>
          <w:rFonts w:asciiTheme="majorHAnsi" w:hAnsiTheme="majorHAnsi"/>
          <w:b/>
          <w:bCs/>
          <w:sz w:val="22"/>
          <w:szCs w:val="22"/>
        </w:rPr>
      </w:pPr>
    </w:p>
    <w:p w:rsidR="004B3FDE" w:rsidRDefault="004B3FDE" w:rsidP="004B3FDE">
      <w:pPr>
        <w:pStyle w:val="ListParagraph"/>
        <w:numPr>
          <w:ilvl w:val="0"/>
          <w:numId w:val="7"/>
        </w:numPr>
        <w:rPr>
          <w:rFonts w:asciiTheme="majorHAnsi" w:hAnsiTheme="majorHAnsi"/>
          <w:bCs/>
          <w:sz w:val="22"/>
          <w:szCs w:val="22"/>
        </w:rPr>
      </w:pPr>
      <w:r>
        <w:rPr>
          <w:rFonts w:asciiTheme="majorHAnsi" w:hAnsiTheme="majorHAnsi"/>
          <w:bCs/>
          <w:sz w:val="22"/>
          <w:szCs w:val="22"/>
        </w:rPr>
        <w:t>E&amp;E 181-235 (</w:t>
      </w:r>
      <w:r w:rsidRPr="00AE1AD8">
        <w:rPr>
          <w:rFonts w:asciiTheme="majorHAnsi" w:hAnsiTheme="majorHAnsi"/>
          <w:bCs/>
          <w:sz w:val="22"/>
          <w:szCs w:val="22"/>
        </w:rPr>
        <w:t>Redemptions</w:t>
      </w:r>
      <w:r>
        <w:rPr>
          <w:rFonts w:asciiTheme="majorHAnsi" w:hAnsiTheme="majorHAnsi"/>
          <w:bCs/>
          <w:sz w:val="22"/>
          <w:szCs w:val="22"/>
        </w:rPr>
        <w:t>)</w:t>
      </w:r>
    </w:p>
    <w:p w:rsidR="004B3FDE" w:rsidRDefault="004B3FDE" w:rsidP="004B3FDE">
      <w:pPr>
        <w:rPr>
          <w:rFonts w:asciiTheme="majorHAnsi" w:hAnsiTheme="majorHAnsi"/>
          <w:bCs/>
          <w:sz w:val="22"/>
          <w:szCs w:val="22"/>
        </w:rPr>
      </w:pPr>
    </w:p>
    <w:p w:rsidR="004B3FDE" w:rsidRPr="00161867" w:rsidRDefault="004B3FDE" w:rsidP="004B3FDE">
      <w:pPr>
        <w:ind w:left="720"/>
        <w:rPr>
          <w:rFonts w:asciiTheme="majorHAnsi" w:hAnsiTheme="majorHAnsi"/>
          <w:bCs/>
          <w:sz w:val="22"/>
          <w:szCs w:val="22"/>
        </w:rPr>
      </w:pPr>
      <w:r w:rsidRPr="00161867">
        <w:rPr>
          <w:rFonts w:asciiTheme="majorHAnsi" w:hAnsiTheme="majorHAnsi"/>
          <w:bCs/>
          <w:i/>
          <w:sz w:val="22"/>
          <w:szCs w:val="22"/>
        </w:rPr>
        <w:t>Lynch v. Comm’r</w:t>
      </w:r>
      <w:r w:rsidRPr="00161867">
        <w:rPr>
          <w:rFonts w:asciiTheme="majorHAnsi" w:hAnsiTheme="majorHAnsi"/>
          <w:bCs/>
          <w:sz w:val="22"/>
          <w:szCs w:val="22"/>
        </w:rPr>
        <w:t>, 801 F.2d 1176 (9</w:t>
      </w:r>
      <w:r w:rsidRPr="00161867">
        <w:rPr>
          <w:rFonts w:asciiTheme="majorHAnsi" w:hAnsiTheme="majorHAnsi"/>
          <w:bCs/>
          <w:sz w:val="22"/>
          <w:szCs w:val="22"/>
          <w:vertAlign w:val="superscript"/>
        </w:rPr>
        <w:t>th</w:t>
      </w:r>
      <w:r w:rsidRPr="00161867">
        <w:rPr>
          <w:rFonts w:asciiTheme="majorHAnsi" w:hAnsiTheme="majorHAnsi"/>
          <w:bCs/>
          <w:sz w:val="22"/>
          <w:szCs w:val="22"/>
        </w:rPr>
        <w:t xml:space="preserve"> Cir. 1986)</w:t>
      </w:r>
    </w:p>
    <w:p w:rsidR="004B3FDE" w:rsidRDefault="004B3FDE" w:rsidP="004B3FDE">
      <w:pPr>
        <w:ind w:left="720"/>
        <w:rPr>
          <w:rFonts w:asciiTheme="majorHAnsi" w:hAnsiTheme="majorHAnsi"/>
          <w:bCs/>
          <w:sz w:val="22"/>
          <w:szCs w:val="22"/>
        </w:rPr>
      </w:pPr>
      <w:r w:rsidRPr="00161867">
        <w:rPr>
          <w:rFonts w:asciiTheme="majorHAnsi" w:hAnsiTheme="majorHAnsi"/>
          <w:bCs/>
          <w:i/>
          <w:sz w:val="22"/>
          <w:szCs w:val="22"/>
        </w:rPr>
        <w:t>U.S. v. Davis</w:t>
      </w:r>
      <w:r w:rsidRPr="00161867">
        <w:rPr>
          <w:rFonts w:asciiTheme="majorHAnsi" w:hAnsiTheme="majorHAnsi"/>
          <w:bCs/>
          <w:sz w:val="22"/>
          <w:szCs w:val="22"/>
        </w:rPr>
        <w:t>, 397 U.S. 301 (1970)</w:t>
      </w:r>
    </w:p>
    <w:p w:rsidR="004B3FDE" w:rsidRDefault="004B3FDE" w:rsidP="004B3FDE">
      <w:pPr>
        <w:ind w:left="720"/>
        <w:rPr>
          <w:rFonts w:asciiTheme="majorHAnsi" w:hAnsiTheme="majorHAnsi"/>
          <w:bCs/>
          <w:sz w:val="22"/>
          <w:szCs w:val="22"/>
        </w:rPr>
      </w:pPr>
      <w:r>
        <w:rPr>
          <w:rFonts w:asciiTheme="majorHAnsi" w:hAnsiTheme="majorHAnsi"/>
          <w:bCs/>
          <w:i/>
          <w:sz w:val="22"/>
          <w:szCs w:val="22"/>
        </w:rPr>
        <w:t>Patterson Trust v. U.S.</w:t>
      </w:r>
      <w:r>
        <w:rPr>
          <w:rFonts w:asciiTheme="majorHAnsi" w:hAnsiTheme="majorHAnsi"/>
          <w:bCs/>
          <w:sz w:val="22"/>
          <w:szCs w:val="22"/>
        </w:rPr>
        <w:t>, 729 F.2d 1089 (6</w:t>
      </w:r>
      <w:r w:rsidRPr="00161867">
        <w:rPr>
          <w:rFonts w:asciiTheme="majorHAnsi" w:hAnsiTheme="majorHAnsi"/>
          <w:bCs/>
          <w:sz w:val="22"/>
          <w:szCs w:val="22"/>
          <w:vertAlign w:val="superscript"/>
        </w:rPr>
        <w:t>th</w:t>
      </w:r>
      <w:r>
        <w:rPr>
          <w:rFonts w:asciiTheme="majorHAnsi" w:hAnsiTheme="majorHAnsi"/>
          <w:bCs/>
          <w:sz w:val="22"/>
          <w:szCs w:val="22"/>
        </w:rPr>
        <w:t xml:space="preserve"> Cir. 1984)</w:t>
      </w:r>
    </w:p>
    <w:p w:rsidR="004B3FDE" w:rsidRDefault="004B3FDE" w:rsidP="004B3FDE">
      <w:pPr>
        <w:ind w:left="720"/>
        <w:rPr>
          <w:rFonts w:asciiTheme="majorHAnsi" w:hAnsiTheme="majorHAnsi"/>
          <w:bCs/>
          <w:sz w:val="22"/>
          <w:szCs w:val="22"/>
        </w:rPr>
      </w:pPr>
      <w:r>
        <w:rPr>
          <w:rFonts w:asciiTheme="majorHAnsi" w:hAnsiTheme="majorHAnsi"/>
          <w:bCs/>
          <w:i/>
          <w:sz w:val="22"/>
          <w:szCs w:val="22"/>
        </w:rPr>
        <w:t>Merrill Lynch &amp; Co</w:t>
      </w:r>
      <w:r w:rsidRPr="00161867">
        <w:rPr>
          <w:rFonts w:asciiTheme="majorHAnsi" w:hAnsiTheme="majorHAnsi"/>
          <w:bCs/>
          <w:i/>
          <w:sz w:val="22"/>
          <w:szCs w:val="22"/>
        </w:rPr>
        <w:t>. v. Comm’r</w:t>
      </w:r>
      <w:r>
        <w:rPr>
          <w:rFonts w:asciiTheme="majorHAnsi" w:hAnsiTheme="majorHAnsi"/>
          <w:bCs/>
          <w:sz w:val="22"/>
          <w:szCs w:val="22"/>
        </w:rPr>
        <w:t>, 131 T.C. 293 (2008)</w:t>
      </w:r>
    </w:p>
    <w:p w:rsidR="004B3FDE" w:rsidRPr="00161867" w:rsidRDefault="004B3FDE" w:rsidP="004B3FDE">
      <w:pPr>
        <w:ind w:left="720"/>
        <w:rPr>
          <w:rFonts w:asciiTheme="majorHAnsi" w:hAnsiTheme="majorHAnsi"/>
          <w:bCs/>
          <w:sz w:val="22"/>
          <w:szCs w:val="22"/>
        </w:rPr>
      </w:pPr>
    </w:p>
    <w:p w:rsidR="004B3FDE" w:rsidRDefault="004B3FDE" w:rsidP="004B3FDE">
      <w:pPr>
        <w:ind w:left="720"/>
        <w:rPr>
          <w:rFonts w:asciiTheme="majorHAnsi" w:hAnsiTheme="majorHAnsi"/>
          <w:b/>
          <w:bCs/>
          <w:sz w:val="22"/>
          <w:szCs w:val="22"/>
        </w:rPr>
      </w:pPr>
      <w:r w:rsidRPr="00161867">
        <w:rPr>
          <w:rFonts w:asciiTheme="majorHAnsi" w:hAnsiTheme="majorHAnsi"/>
          <w:b/>
          <w:bCs/>
          <w:sz w:val="22"/>
          <w:szCs w:val="22"/>
        </w:rPr>
        <w:t>Problem</w:t>
      </w:r>
      <w:r>
        <w:rPr>
          <w:rFonts w:asciiTheme="majorHAnsi" w:hAnsiTheme="majorHAnsi"/>
          <w:b/>
          <w:bCs/>
          <w:sz w:val="22"/>
          <w:szCs w:val="22"/>
        </w:rPr>
        <w:t xml:space="preserve"> Set #7 and #8</w:t>
      </w:r>
      <w:r>
        <w:rPr>
          <w:rFonts w:asciiTheme="majorHAnsi" w:hAnsiTheme="majorHAnsi"/>
          <w:bCs/>
          <w:sz w:val="22"/>
          <w:szCs w:val="22"/>
        </w:rPr>
        <w:t xml:space="preserve"> (Redemptions) </w:t>
      </w:r>
      <w:r>
        <w:rPr>
          <w:rFonts w:asciiTheme="majorHAnsi" w:hAnsiTheme="majorHAnsi"/>
          <w:b/>
          <w:bCs/>
          <w:sz w:val="22"/>
          <w:szCs w:val="22"/>
        </w:rPr>
        <w:t>(webpage)</w:t>
      </w:r>
    </w:p>
    <w:p w:rsidR="004B3FDE" w:rsidRPr="00161867" w:rsidRDefault="004B3FDE" w:rsidP="004B3FDE">
      <w:pPr>
        <w:ind w:left="720"/>
        <w:rPr>
          <w:rFonts w:asciiTheme="majorHAnsi" w:hAnsiTheme="majorHAnsi"/>
          <w:bCs/>
          <w:sz w:val="22"/>
          <w:szCs w:val="22"/>
        </w:rPr>
      </w:pPr>
    </w:p>
    <w:p w:rsidR="004B3FDE" w:rsidRDefault="004B3FDE" w:rsidP="004B3FDE">
      <w:pPr>
        <w:pStyle w:val="ListParagraph"/>
        <w:numPr>
          <w:ilvl w:val="0"/>
          <w:numId w:val="7"/>
        </w:numPr>
        <w:rPr>
          <w:rFonts w:asciiTheme="majorHAnsi" w:hAnsiTheme="majorHAnsi"/>
          <w:bCs/>
          <w:sz w:val="22"/>
          <w:szCs w:val="22"/>
        </w:rPr>
      </w:pPr>
      <w:r>
        <w:rPr>
          <w:rFonts w:asciiTheme="majorHAnsi" w:hAnsiTheme="majorHAnsi"/>
          <w:bCs/>
          <w:sz w:val="22"/>
          <w:szCs w:val="22"/>
        </w:rPr>
        <w:t>E&amp;E, pp. 237-273 (</w:t>
      </w:r>
      <w:r w:rsidRPr="00161867">
        <w:rPr>
          <w:rFonts w:asciiTheme="majorHAnsi" w:hAnsiTheme="majorHAnsi"/>
          <w:bCs/>
          <w:sz w:val="22"/>
          <w:szCs w:val="22"/>
        </w:rPr>
        <w:t>Stock Distributions</w:t>
      </w:r>
      <w:r>
        <w:rPr>
          <w:rFonts w:asciiTheme="majorHAnsi" w:hAnsiTheme="majorHAnsi"/>
          <w:bCs/>
          <w:sz w:val="22"/>
          <w:szCs w:val="22"/>
        </w:rPr>
        <w:t>)</w:t>
      </w:r>
    </w:p>
    <w:p w:rsidR="00F85C5C" w:rsidRDefault="00F85C5C" w:rsidP="00F85C5C">
      <w:pPr>
        <w:rPr>
          <w:rFonts w:asciiTheme="majorHAnsi" w:hAnsiTheme="majorHAnsi"/>
          <w:bCs/>
          <w:sz w:val="22"/>
          <w:szCs w:val="22"/>
        </w:rPr>
      </w:pPr>
    </w:p>
    <w:p w:rsidR="00F85C5C" w:rsidRPr="00A643F5" w:rsidRDefault="00F85C5C" w:rsidP="00F85C5C">
      <w:pPr>
        <w:ind w:left="720"/>
        <w:rPr>
          <w:rFonts w:asciiTheme="majorHAnsi" w:hAnsiTheme="majorHAnsi"/>
          <w:bCs/>
          <w:sz w:val="22"/>
          <w:szCs w:val="22"/>
        </w:rPr>
      </w:pPr>
      <w:r>
        <w:rPr>
          <w:rFonts w:asciiTheme="majorHAnsi" w:hAnsiTheme="majorHAnsi"/>
          <w:b/>
          <w:bCs/>
          <w:sz w:val="22"/>
          <w:szCs w:val="22"/>
        </w:rPr>
        <w:t>Problem Set #9</w:t>
      </w:r>
      <w:r w:rsidR="00A643F5">
        <w:rPr>
          <w:rFonts w:asciiTheme="majorHAnsi" w:hAnsiTheme="majorHAnsi"/>
          <w:b/>
          <w:bCs/>
          <w:sz w:val="22"/>
          <w:szCs w:val="22"/>
        </w:rPr>
        <w:t xml:space="preserve"> </w:t>
      </w:r>
      <w:r w:rsidR="00A643F5" w:rsidRPr="00A643F5">
        <w:rPr>
          <w:rFonts w:asciiTheme="majorHAnsi" w:hAnsiTheme="majorHAnsi"/>
          <w:b/>
          <w:bCs/>
          <w:sz w:val="22"/>
          <w:szCs w:val="22"/>
        </w:rPr>
        <w:t>(webpage)</w:t>
      </w:r>
    </w:p>
    <w:p w:rsidR="00F85C5C" w:rsidRDefault="00F85C5C" w:rsidP="00F85C5C">
      <w:pPr>
        <w:ind w:left="720"/>
        <w:rPr>
          <w:rFonts w:asciiTheme="majorHAnsi" w:hAnsiTheme="majorHAnsi"/>
          <w:bCs/>
          <w:sz w:val="22"/>
          <w:szCs w:val="22"/>
        </w:rPr>
      </w:pPr>
    </w:p>
    <w:p w:rsidR="00F85C5C" w:rsidRDefault="00F85C5C" w:rsidP="00F85C5C">
      <w:pPr>
        <w:ind w:left="720"/>
        <w:rPr>
          <w:rFonts w:asciiTheme="majorHAnsi" w:hAnsiTheme="majorHAnsi"/>
          <w:bCs/>
          <w:sz w:val="22"/>
          <w:szCs w:val="22"/>
        </w:rPr>
      </w:pPr>
    </w:p>
    <w:p w:rsidR="00F85C5C" w:rsidRPr="00F85C5C" w:rsidRDefault="000009EE" w:rsidP="00F85C5C">
      <w:pPr>
        <w:pStyle w:val="ListParagraph"/>
        <w:numPr>
          <w:ilvl w:val="0"/>
          <w:numId w:val="7"/>
        </w:numPr>
        <w:rPr>
          <w:rFonts w:asciiTheme="majorHAnsi" w:hAnsiTheme="majorHAnsi"/>
          <w:bCs/>
          <w:sz w:val="22"/>
          <w:szCs w:val="22"/>
        </w:rPr>
      </w:pPr>
      <w:r>
        <w:rPr>
          <w:rFonts w:asciiTheme="majorHAnsi" w:hAnsiTheme="majorHAnsi"/>
          <w:bCs/>
          <w:sz w:val="22"/>
          <w:szCs w:val="22"/>
        </w:rPr>
        <w:t xml:space="preserve">E&amp;E, pp. 277-318 </w:t>
      </w:r>
      <w:r w:rsidR="00F85C5C">
        <w:rPr>
          <w:rFonts w:asciiTheme="majorHAnsi" w:hAnsiTheme="majorHAnsi"/>
          <w:bCs/>
          <w:sz w:val="22"/>
          <w:szCs w:val="22"/>
        </w:rPr>
        <w:t>(Taxable Liquidations and Acquisitions)</w:t>
      </w:r>
    </w:p>
    <w:p w:rsidR="00F85C5C" w:rsidRDefault="00F85C5C" w:rsidP="00F85C5C">
      <w:pPr>
        <w:rPr>
          <w:rFonts w:asciiTheme="majorHAnsi" w:hAnsiTheme="majorHAnsi"/>
          <w:bCs/>
          <w:sz w:val="22"/>
          <w:szCs w:val="22"/>
        </w:rPr>
      </w:pPr>
    </w:p>
    <w:p w:rsidR="008309FC" w:rsidRDefault="008309FC" w:rsidP="00F85C5C">
      <w:pPr>
        <w:ind w:left="720"/>
        <w:rPr>
          <w:rFonts w:asciiTheme="majorHAnsi" w:hAnsiTheme="majorHAnsi"/>
          <w:bCs/>
          <w:sz w:val="22"/>
          <w:szCs w:val="22"/>
        </w:rPr>
      </w:pPr>
      <w:r>
        <w:rPr>
          <w:rFonts w:asciiTheme="majorHAnsi" w:hAnsiTheme="majorHAnsi"/>
          <w:b/>
          <w:bCs/>
          <w:sz w:val="22"/>
          <w:szCs w:val="22"/>
        </w:rPr>
        <w:t>Problem Set #10</w:t>
      </w:r>
      <w:r w:rsidR="00A643F5">
        <w:rPr>
          <w:rFonts w:asciiTheme="majorHAnsi" w:hAnsiTheme="majorHAnsi"/>
          <w:b/>
          <w:bCs/>
          <w:sz w:val="22"/>
          <w:szCs w:val="22"/>
        </w:rPr>
        <w:t xml:space="preserve"> (webpage)</w:t>
      </w:r>
    </w:p>
    <w:p w:rsidR="008309FC" w:rsidRDefault="008309FC" w:rsidP="00F85C5C">
      <w:pPr>
        <w:ind w:left="720"/>
        <w:rPr>
          <w:rFonts w:asciiTheme="majorHAnsi" w:hAnsiTheme="majorHAnsi"/>
          <w:bCs/>
          <w:sz w:val="22"/>
          <w:szCs w:val="22"/>
        </w:rPr>
      </w:pPr>
    </w:p>
    <w:p w:rsidR="008309FC" w:rsidRDefault="000009EE" w:rsidP="008309FC">
      <w:pPr>
        <w:pStyle w:val="ListParagraph"/>
        <w:numPr>
          <w:ilvl w:val="0"/>
          <w:numId w:val="7"/>
        </w:numPr>
        <w:rPr>
          <w:rFonts w:asciiTheme="majorHAnsi" w:hAnsiTheme="majorHAnsi"/>
          <w:bCs/>
          <w:sz w:val="22"/>
          <w:szCs w:val="22"/>
        </w:rPr>
      </w:pPr>
      <w:r>
        <w:rPr>
          <w:rFonts w:asciiTheme="majorHAnsi" w:hAnsiTheme="majorHAnsi"/>
          <w:bCs/>
          <w:sz w:val="22"/>
          <w:szCs w:val="22"/>
        </w:rPr>
        <w:t xml:space="preserve">E&amp;E, pp. 377-479 </w:t>
      </w:r>
      <w:r w:rsidR="008309FC">
        <w:rPr>
          <w:rFonts w:asciiTheme="majorHAnsi" w:hAnsiTheme="majorHAnsi"/>
          <w:bCs/>
          <w:sz w:val="22"/>
          <w:szCs w:val="22"/>
        </w:rPr>
        <w:t>(Tax-Free Reorganizations)</w:t>
      </w:r>
    </w:p>
    <w:p w:rsidR="000009EE" w:rsidRDefault="000009EE" w:rsidP="000009EE">
      <w:pPr>
        <w:rPr>
          <w:rFonts w:asciiTheme="majorHAnsi" w:hAnsiTheme="majorHAnsi"/>
          <w:bCs/>
          <w:sz w:val="22"/>
          <w:szCs w:val="22"/>
        </w:rPr>
      </w:pPr>
    </w:p>
    <w:p w:rsidR="000009EE" w:rsidRPr="000009EE" w:rsidRDefault="000009EE" w:rsidP="000009EE">
      <w:pPr>
        <w:ind w:left="720"/>
        <w:rPr>
          <w:rFonts w:asciiTheme="majorHAnsi" w:hAnsiTheme="majorHAnsi"/>
          <w:bCs/>
          <w:sz w:val="22"/>
          <w:szCs w:val="22"/>
        </w:rPr>
      </w:pPr>
      <w:r>
        <w:rPr>
          <w:rFonts w:asciiTheme="majorHAnsi" w:hAnsiTheme="majorHAnsi"/>
          <w:bCs/>
          <w:sz w:val="22"/>
          <w:szCs w:val="22"/>
        </w:rPr>
        <w:t>[Note, we will not cover this material in the same order as the book does, so I’m just giving you the entire reading at the beginning. Sorry!]</w:t>
      </w:r>
    </w:p>
    <w:p w:rsidR="008309FC" w:rsidRDefault="008309FC" w:rsidP="00F85C5C">
      <w:pPr>
        <w:ind w:left="720"/>
        <w:rPr>
          <w:rFonts w:asciiTheme="majorHAnsi" w:hAnsiTheme="majorHAnsi"/>
          <w:bCs/>
          <w:i/>
          <w:sz w:val="22"/>
          <w:szCs w:val="22"/>
        </w:rPr>
      </w:pPr>
    </w:p>
    <w:p w:rsidR="004B3FDE" w:rsidRPr="00491278" w:rsidRDefault="00F85C5C" w:rsidP="00F85C5C">
      <w:pPr>
        <w:ind w:left="720"/>
        <w:rPr>
          <w:rFonts w:asciiTheme="majorHAnsi" w:hAnsiTheme="majorHAnsi"/>
          <w:bCs/>
          <w:sz w:val="22"/>
          <w:szCs w:val="22"/>
        </w:rPr>
      </w:pPr>
      <w:r>
        <w:rPr>
          <w:rFonts w:asciiTheme="majorHAnsi" w:hAnsiTheme="majorHAnsi"/>
          <w:bCs/>
          <w:i/>
          <w:sz w:val="22"/>
          <w:szCs w:val="22"/>
        </w:rPr>
        <w:t>Kass v. Comm’r</w:t>
      </w:r>
      <w:r w:rsidR="00491278">
        <w:rPr>
          <w:rFonts w:asciiTheme="majorHAnsi" w:hAnsiTheme="majorHAnsi"/>
          <w:bCs/>
          <w:sz w:val="22"/>
          <w:szCs w:val="22"/>
        </w:rPr>
        <w:t>, 60 T.C. 218 (1973)</w:t>
      </w:r>
    </w:p>
    <w:p w:rsidR="00F85C5C" w:rsidRPr="00491278" w:rsidRDefault="00F85C5C" w:rsidP="00F85C5C">
      <w:pPr>
        <w:ind w:left="720"/>
        <w:rPr>
          <w:rFonts w:asciiTheme="majorHAnsi" w:hAnsiTheme="majorHAnsi"/>
          <w:bCs/>
          <w:sz w:val="22"/>
          <w:szCs w:val="22"/>
        </w:rPr>
      </w:pPr>
      <w:r>
        <w:rPr>
          <w:rFonts w:asciiTheme="majorHAnsi" w:hAnsiTheme="majorHAnsi"/>
          <w:bCs/>
          <w:i/>
          <w:sz w:val="22"/>
          <w:szCs w:val="22"/>
        </w:rPr>
        <w:t>Seagram Corp. v. Comm’r</w:t>
      </w:r>
      <w:r w:rsidR="00491278">
        <w:rPr>
          <w:rFonts w:asciiTheme="majorHAnsi" w:hAnsiTheme="majorHAnsi"/>
          <w:bCs/>
          <w:sz w:val="22"/>
          <w:szCs w:val="22"/>
        </w:rPr>
        <w:t>, 104 T.C. 75 (Tax Ct. 1995)</w:t>
      </w:r>
    </w:p>
    <w:p w:rsidR="00F85C5C" w:rsidRPr="00491278" w:rsidRDefault="00F85C5C" w:rsidP="00F85C5C">
      <w:pPr>
        <w:ind w:left="720"/>
        <w:rPr>
          <w:rFonts w:asciiTheme="majorHAnsi" w:hAnsiTheme="majorHAnsi"/>
          <w:bCs/>
          <w:sz w:val="22"/>
          <w:szCs w:val="22"/>
        </w:rPr>
      </w:pPr>
      <w:r>
        <w:rPr>
          <w:rFonts w:asciiTheme="majorHAnsi" w:hAnsiTheme="majorHAnsi"/>
          <w:bCs/>
          <w:i/>
          <w:sz w:val="22"/>
          <w:szCs w:val="22"/>
        </w:rPr>
        <w:t>Chapman v. Comm’r</w:t>
      </w:r>
      <w:r w:rsidR="00491278">
        <w:rPr>
          <w:rFonts w:asciiTheme="majorHAnsi" w:hAnsiTheme="majorHAnsi"/>
          <w:bCs/>
          <w:sz w:val="22"/>
          <w:szCs w:val="22"/>
        </w:rPr>
        <w:t>, 618 F.2d 856 (1</w:t>
      </w:r>
      <w:r w:rsidR="00491278" w:rsidRPr="00491278">
        <w:rPr>
          <w:rFonts w:asciiTheme="majorHAnsi" w:hAnsiTheme="majorHAnsi"/>
          <w:bCs/>
          <w:sz w:val="22"/>
          <w:szCs w:val="22"/>
          <w:vertAlign w:val="superscript"/>
        </w:rPr>
        <w:t>st</w:t>
      </w:r>
      <w:r w:rsidR="00491278">
        <w:rPr>
          <w:rFonts w:asciiTheme="majorHAnsi" w:hAnsiTheme="majorHAnsi"/>
          <w:bCs/>
          <w:sz w:val="22"/>
          <w:szCs w:val="22"/>
        </w:rPr>
        <w:t xml:space="preserve"> Cir. 1980)</w:t>
      </w:r>
    </w:p>
    <w:p w:rsidR="00F85C5C" w:rsidRPr="00F85C5C" w:rsidRDefault="00F85C5C" w:rsidP="00F85C5C">
      <w:pPr>
        <w:ind w:left="720"/>
        <w:rPr>
          <w:rFonts w:asciiTheme="majorHAnsi" w:hAnsiTheme="majorHAnsi"/>
          <w:bCs/>
          <w:i/>
          <w:sz w:val="22"/>
          <w:szCs w:val="22"/>
        </w:rPr>
      </w:pPr>
    </w:p>
    <w:p w:rsidR="004B3FDE" w:rsidRPr="00161867" w:rsidRDefault="004B3FDE" w:rsidP="004B3FDE">
      <w:pPr>
        <w:ind w:left="720"/>
        <w:rPr>
          <w:rFonts w:asciiTheme="majorHAnsi" w:hAnsiTheme="majorHAnsi"/>
          <w:bCs/>
          <w:sz w:val="22"/>
          <w:szCs w:val="22"/>
        </w:rPr>
      </w:pPr>
      <w:r w:rsidRPr="00161867">
        <w:rPr>
          <w:rFonts w:asciiTheme="majorHAnsi" w:hAnsiTheme="majorHAnsi"/>
          <w:bCs/>
          <w:sz w:val="22"/>
          <w:szCs w:val="22"/>
        </w:rPr>
        <w:t xml:space="preserve"> </w:t>
      </w:r>
    </w:p>
    <w:p w:rsidR="00646849" w:rsidRPr="003634EA" w:rsidRDefault="00646849" w:rsidP="00646849">
      <w:pPr>
        <w:rPr>
          <w:rFonts w:asciiTheme="majorHAnsi" w:hAnsiTheme="majorHAnsi"/>
          <w:sz w:val="22"/>
          <w:szCs w:val="22"/>
        </w:rPr>
      </w:pPr>
    </w:p>
    <w:p w:rsidR="00646849" w:rsidRPr="003634EA" w:rsidRDefault="00646849" w:rsidP="00646849">
      <w:pPr>
        <w:rPr>
          <w:rFonts w:asciiTheme="majorHAnsi" w:hAnsiTheme="majorHAnsi"/>
          <w:sz w:val="22"/>
          <w:szCs w:val="22"/>
        </w:rPr>
      </w:pPr>
    </w:p>
    <w:sectPr w:rsidR="00646849" w:rsidRPr="00363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NewRoman,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664"/>
    <w:multiLevelType w:val="hybridMultilevel"/>
    <w:tmpl w:val="2BFEF9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FE1"/>
    <w:multiLevelType w:val="hybridMultilevel"/>
    <w:tmpl w:val="51D27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A76FA"/>
    <w:multiLevelType w:val="hybridMultilevel"/>
    <w:tmpl w:val="51D27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75D36"/>
    <w:multiLevelType w:val="hybridMultilevel"/>
    <w:tmpl w:val="47AE400A"/>
    <w:lvl w:ilvl="0" w:tplc="52F61F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660EA"/>
    <w:multiLevelType w:val="hybridMultilevel"/>
    <w:tmpl w:val="A13291FC"/>
    <w:lvl w:ilvl="0" w:tplc="4E5688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85A0E"/>
    <w:multiLevelType w:val="hybridMultilevel"/>
    <w:tmpl w:val="F6AA76F2"/>
    <w:lvl w:ilvl="0" w:tplc="CA407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B747D5"/>
    <w:multiLevelType w:val="hybridMultilevel"/>
    <w:tmpl w:val="14E633F2"/>
    <w:lvl w:ilvl="0" w:tplc="6AE2C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322848"/>
    <w:multiLevelType w:val="hybridMultilevel"/>
    <w:tmpl w:val="16FC48E2"/>
    <w:lvl w:ilvl="0" w:tplc="C2F494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49"/>
    <w:rsid w:val="000009EE"/>
    <w:rsid w:val="000B5EAA"/>
    <w:rsid w:val="000C43E3"/>
    <w:rsid w:val="00184676"/>
    <w:rsid w:val="002A3EEB"/>
    <w:rsid w:val="002A4364"/>
    <w:rsid w:val="002B36F9"/>
    <w:rsid w:val="00303479"/>
    <w:rsid w:val="00317A39"/>
    <w:rsid w:val="0032478B"/>
    <w:rsid w:val="00352207"/>
    <w:rsid w:val="003634EA"/>
    <w:rsid w:val="003D31D0"/>
    <w:rsid w:val="0040342B"/>
    <w:rsid w:val="00491278"/>
    <w:rsid w:val="004B3FDE"/>
    <w:rsid w:val="004E3426"/>
    <w:rsid w:val="00523409"/>
    <w:rsid w:val="00646849"/>
    <w:rsid w:val="00663698"/>
    <w:rsid w:val="008309FC"/>
    <w:rsid w:val="00845DBF"/>
    <w:rsid w:val="00872D6C"/>
    <w:rsid w:val="00880B6F"/>
    <w:rsid w:val="008D3FEC"/>
    <w:rsid w:val="00937EAF"/>
    <w:rsid w:val="009E5140"/>
    <w:rsid w:val="00A04193"/>
    <w:rsid w:val="00A11ABD"/>
    <w:rsid w:val="00A643F5"/>
    <w:rsid w:val="00AB0F40"/>
    <w:rsid w:val="00B06EEC"/>
    <w:rsid w:val="00B72B7A"/>
    <w:rsid w:val="00BC0446"/>
    <w:rsid w:val="00BF2E45"/>
    <w:rsid w:val="00C239CF"/>
    <w:rsid w:val="00C659D8"/>
    <w:rsid w:val="00C75B76"/>
    <w:rsid w:val="00CA6575"/>
    <w:rsid w:val="00D31CF7"/>
    <w:rsid w:val="00D5713B"/>
    <w:rsid w:val="00DC7E62"/>
    <w:rsid w:val="00E719BC"/>
    <w:rsid w:val="00F30903"/>
    <w:rsid w:val="00F54421"/>
    <w:rsid w:val="00F85C5C"/>
    <w:rsid w:val="00FE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9FB7"/>
  <w15:docId w15:val="{0CB39FCA-7057-4E44-9F59-B6EF2D7C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849"/>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849"/>
    <w:rPr>
      <w:color w:val="0000FF" w:themeColor="hyperlink"/>
      <w:u w:val="single"/>
    </w:rPr>
  </w:style>
  <w:style w:type="paragraph" w:styleId="ListParagraph">
    <w:name w:val="List Paragraph"/>
    <w:basedOn w:val="Normal"/>
    <w:uiPriority w:val="34"/>
    <w:qFormat/>
    <w:rsid w:val="00646849"/>
    <w:pPr>
      <w:ind w:left="720"/>
      <w:contextualSpacing/>
    </w:pPr>
  </w:style>
  <w:style w:type="character" w:styleId="IntenseEmphasis">
    <w:name w:val="Intense Emphasis"/>
    <w:basedOn w:val="DefaultParagraphFont"/>
    <w:uiPriority w:val="21"/>
    <w:qFormat/>
    <w:rsid w:val="00D5713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842090">
      <w:bodyDiv w:val="1"/>
      <w:marLeft w:val="0"/>
      <w:marRight w:val="0"/>
      <w:marTop w:val="0"/>
      <w:marBottom w:val="0"/>
      <w:divBdr>
        <w:top w:val="none" w:sz="0" w:space="0" w:color="auto"/>
        <w:left w:val="none" w:sz="0" w:space="0" w:color="auto"/>
        <w:bottom w:val="none" w:sz="0" w:space="0" w:color="auto"/>
        <w:right w:val="none" w:sz="0" w:space="0" w:color="auto"/>
      </w:divBdr>
      <w:divsChild>
        <w:div w:id="1228567794">
          <w:marLeft w:val="0"/>
          <w:marRight w:val="0"/>
          <w:marTop w:val="0"/>
          <w:marBottom w:val="0"/>
          <w:divBdr>
            <w:top w:val="none" w:sz="0" w:space="0" w:color="auto"/>
            <w:left w:val="none" w:sz="0" w:space="0" w:color="auto"/>
            <w:bottom w:val="none" w:sz="0" w:space="0" w:color="auto"/>
            <w:right w:val="none" w:sz="0" w:space="0" w:color="auto"/>
          </w:divBdr>
        </w:div>
        <w:div w:id="18405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tleix.by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tleix.byu.edu/report" TargetMode="External"/><Relationship Id="rId5" Type="http://schemas.openxmlformats.org/officeDocument/2006/relationships/hyperlink" Target="mailto:t9coordinator@by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Hurt</dc:creator>
  <cp:lastModifiedBy>Christine Hurt</cp:lastModifiedBy>
  <cp:revision>8</cp:revision>
  <dcterms:created xsi:type="dcterms:W3CDTF">2019-08-22T14:51:00Z</dcterms:created>
  <dcterms:modified xsi:type="dcterms:W3CDTF">2019-08-22T16:02:00Z</dcterms:modified>
</cp:coreProperties>
</file>